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Look w:val="04A0" w:firstRow="1" w:lastRow="0" w:firstColumn="1" w:lastColumn="0" w:noHBand="0" w:noVBand="1"/>
      </w:tblPr>
      <w:tblGrid>
        <w:gridCol w:w="2187"/>
        <w:gridCol w:w="3053"/>
        <w:gridCol w:w="7655"/>
        <w:gridCol w:w="2409"/>
      </w:tblGrid>
      <w:tr w:rsidR="00DE7687" w:rsidRPr="00A8764C" w14:paraId="16494833" w14:textId="77777777" w:rsidTr="00B52368">
        <w:trPr>
          <w:trHeight w:val="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455560"/>
            <w:vAlign w:val="center"/>
            <w:hideMark/>
          </w:tcPr>
          <w:p w14:paraId="16D4BFD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Focus Area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55560"/>
            <w:vAlign w:val="center"/>
            <w:hideMark/>
          </w:tcPr>
          <w:p w14:paraId="7AD07C4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Objectives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55560"/>
            <w:vAlign w:val="center"/>
            <w:hideMark/>
          </w:tcPr>
          <w:p w14:paraId="2B3CECE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Targets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55560"/>
            <w:vAlign w:val="center"/>
            <w:hideMark/>
          </w:tcPr>
          <w:p w14:paraId="5B59922A" w14:textId="77777777" w:rsidR="00DE7687" w:rsidRPr="00A8764C" w:rsidRDefault="008E3E74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Applicable Phase of Delivery</w:t>
            </w:r>
          </w:p>
        </w:tc>
      </w:tr>
      <w:tr w:rsidR="00DE7687" w:rsidRPr="00A8764C" w14:paraId="578278CE" w14:textId="77777777" w:rsidTr="00B52368">
        <w:trPr>
          <w:trHeight w:val="2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7030A0"/>
            <w:vAlign w:val="center"/>
            <w:hideMark/>
          </w:tcPr>
          <w:p w14:paraId="1463986F" w14:textId="77777777" w:rsidR="00151DF0" w:rsidRPr="00A8764C" w:rsidRDefault="00D75E4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93056" behindDoc="1" locked="0" layoutInCell="1" allowOverlap="1" wp14:anchorId="444377CB" wp14:editId="6B579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1052830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E26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86912" behindDoc="1" locked="0" layoutInCell="1" allowOverlap="1" wp14:anchorId="1953F07E" wp14:editId="443DC540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502920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E26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91008" behindDoc="1" locked="0" layoutInCell="1" allowOverlap="1" wp14:anchorId="10C4F9ED" wp14:editId="6FB4AC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503555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687"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Relationships with Stakeholders and Community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4BDB8DE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Maximise sustainable outcomes through Project lifecycle for stakeholders by actively seeking external stakeholder input.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EA30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425F06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Affected businesses are highly satisfied with LWA engagement, </w:t>
            </w:r>
            <w:r w:rsidR="00425F06" w:rsidRPr="00B52368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receiving greater than 80% positive response in quarterly surveys</w:t>
            </w:r>
            <w:r w:rsidRPr="00425F06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A5B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1A65D03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61656E" w14:textId="77777777" w:rsidR="00DE7687" w:rsidRPr="00A8764C" w:rsidRDefault="00DE7687" w:rsidP="00DE768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A7D0AB3" w14:textId="77777777" w:rsidR="00DE7687" w:rsidRPr="00A8764C" w:rsidRDefault="00DE7687" w:rsidP="00DE768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0316B" w14:textId="77777777" w:rsidR="00DE7687" w:rsidRPr="00A8764C" w:rsidRDefault="00DE7687" w:rsidP="00DE768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Stakeholders are involved in the development of project design packages and feedback is attained to confirm genuine consideration of stakeholder input.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BF25" w14:textId="77777777" w:rsidR="00DE7687" w:rsidRPr="00A8764C" w:rsidRDefault="00DE7687" w:rsidP="00DE768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6FF2F3BE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EF1F61E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37BCDD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39A8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At least two sustainability opportunities are implemented to resolve social and/or environmental issues for the local community.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F69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6ECDF338" w14:textId="77777777" w:rsidTr="00B52368">
        <w:trPr>
          <w:trHeight w:val="958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67DA7A6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D956D3D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88C802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Lessons learnt are collected and documented at the completion of each phase within the infrastructure lifecycle, to improve outcomes during next stages and pass on learnings to future projects.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F41E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03FA24E7" w14:textId="77777777" w:rsidTr="00B52368">
        <w:trPr>
          <w:trHeight w:val="2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00B0F0"/>
            <w:vAlign w:val="center"/>
            <w:hideMark/>
          </w:tcPr>
          <w:p w14:paraId="6DF8A0C1" w14:textId="77777777" w:rsidR="00DE7687" w:rsidRPr="00A8764C" w:rsidRDefault="0074302E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66432" behindDoc="1" locked="0" layoutInCell="1" allowOverlap="1" wp14:anchorId="013C15DB" wp14:editId="791F17F2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483870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64384" behindDoc="1" locked="0" layoutInCell="1" allowOverlap="1" wp14:anchorId="38E69142" wp14:editId="005F570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482600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687"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Minimise Environmental Impacts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BFE3A" w14:textId="77777777" w:rsidR="00DE7687" w:rsidRPr="00A8764C" w:rsidRDefault="00434255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Maintain or </w:t>
            </w:r>
            <w:r w:rsidR="00DE7687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Improve Water Quality through Stormwater Treatment.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4E97C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All stormwater discharged into </w:t>
            </w:r>
            <w:r w:rsidR="00C25B6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the 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Water Corporation Basins (3) is treated to </w:t>
            </w:r>
            <w:r w:rsidR="00434255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maintain at minimum or </w:t>
            </w:r>
            <w:r w:rsidR="008F472E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improve 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water quality</w:t>
            </w:r>
            <w:r w:rsidR="00434255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,</w:t>
            </w:r>
            <w:r w:rsidR="008F472E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compared to baseline levels.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21F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  <w:r w:rsidR="0074316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, Construction &amp; Operation</w:t>
            </w:r>
          </w:p>
        </w:tc>
      </w:tr>
      <w:tr w:rsidR="00DE7687" w:rsidRPr="00A8764C" w14:paraId="35ADC95C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E66646C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7470C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Maximise Water Sensitive Urban Design (WSUD) in the road and drainage solution.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D5998" w14:textId="77777777" w:rsidR="00DE7687" w:rsidRPr="00A8764C" w:rsidRDefault="00FC477A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At least one</w:t>
            </w:r>
            <w:r w:rsidR="00DE7687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Water Sensitive Urban Design (WSUD) </w:t>
            </w:r>
            <w:r w:rsidR="00D66493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opportunity is implemented </w:t>
            </w:r>
            <w:r w:rsidR="00DE7687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 the road and drainage solution.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0BEF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343F6CD0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1299B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03D1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Reduce Water Consumption during infrastructure lifecycle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4E1B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Reduce water consumption over construction and operational life of the infrastructure, by ≥5% from the base case, using a Life Cycle Assessment.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159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43DA3855" w14:textId="77777777" w:rsidTr="00B52368">
        <w:trPr>
          <w:trHeight w:val="796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3E3B3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148D2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Reduce Energy and Greenhouse Gas Emissions Consumption during infrastructure lifecycle.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39CD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Reduce energy and greenhouse gas emissions over construction and operational life of the infrastructure, by ≥5% from the base case, according to Life Cycle Assessment.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082C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3E533E2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AFDF2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FF56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Maximise Soft Landscaping and Tree Canopy </w:t>
            </w:r>
            <w:r w:rsidR="003E38C4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Cover</w:t>
            </w:r>
            <w:r w:rsidR="003E38C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and reduce impacts of urban heat island affect.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6CA15" w14:textId="77777777" w:rsidR="00DE7687" w:rsidRPr="00A8764C" w:rsidRDefault="00DD0322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Increase the total area of soft landscaping in final design, from concept design.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7B0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2C1501A3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A84B8D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B2B816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D0A7F" w14:textId="77777777" w:rsidR="00DE7687" w:rsidRPr="00A8764C" w:rsidRDefault="00DD0322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Plant a higher percentage of canopy species in the plant and seed mixes, than groundcover species (where the MRWA setbacks permit)</w:t>
            </w:r>
            <w:r w:rsidR="00DE7687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703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466EE2E2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CEC8B07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E69F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38A6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Revegetate utilising native tree species that have provenance to the site, are representative of local region biodiversity, and are suitable for the site conditions and changing climate.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BC2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DE7687" w:rsidRPr="00A8764C" w14:paraId="6208D018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702D34B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099E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CC22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Opportunities are implemented (at least one) to reduce clearing extent from total area approved for clearing.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40F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DE7687" w:rsidRPr="00A8764C" w14:paraId="0FB54FE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24017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B57DB9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8E3E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P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lant a greater number of trees than those removed.</w:t>
            </w:r>
          </w:p>
        </w:tc>
        <w:tc>
          <w:tcPr>
            <w:tcW w:w="76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48EEDCB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For every tree cleared, at least 5 </w:t>
            </w:r>
            <w:r w:rsidR="00BC60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trees 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are replanted (including tube stock).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4D5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50BC815E" w14:textId="77777777" w:rsidTr="00B52368">
        <w:trPr>
          <w:trHeight w:val="551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14:paraId="39C76BCC" w14:textId="77777777" w:rsidR="00DE7687" w:rsidRPr="00A8764C" w:rsidRDefault="00BD5504" w:rsidP="0074302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68480" behindDoc="1" locked="0" layoutInCell="1" allowOverlap="1" wp14:anchorId="649AC7BD" wp14:editId="20ED84D7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231775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88960" behindDoc="1" locked="0" layoutInCell="1" allowOverlap="1" wp14:anchorId="530DF28A" wp14:editId="591E681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240665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02E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70528" behindDoc="1" locked="0" layoutInCell="1" allowOverlap="1" wp14:anchorId="7E8BC032" wp14:editId="525944C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822960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02E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Sustainable Cities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F35E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Provide an urban design solution that improves </w:t>
            </w:r>
            <w:r w:rsidR="00BC60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urban</w:t>
            </w:r>
            <w:r w:rsidR="00BC6074"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amenity, enhances aesthetic value of the area, and is consistent with local community and project context.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3624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Opportunities implemented (at least one) to incorporate local context in landscaping and urban design</w:t>
            </w:r>
            <w:r w:rsidR="00BC60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, based upon the Project Urban and Landscape Design Framework.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916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54D8B20F" w14:textId="77777777" w:rsidTr="00B52368">
        <w:trPr>
          <w:trHeight w:val="531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ABBDD6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5B42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EDE9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Opportunities implemented (at least one) to improve urban amenity through landscaping and/or public art design</w:t>
            </w:r>
            <w:r w:rsidR="00BC60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, confirmed through feedback attained from the Local Government Authority.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80F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524F47C8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833CF3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0CAFF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8489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Feedback is attained from the Local Government Authority confirming satisfaction of urban design.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AC4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F4516C" w:rsidRPr="00A8764C" w14:paraId="568D7F58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681A6A3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6E29307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Increase pedestrian and cyclist connectivity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F6F3F" w14:textId="77777777" w:rsidR="00F4516C" w:rsidRPr="00A8764C" w:rsidRDefault="0054318D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Additional pedestrian pathways (at least one) are included in final design to increase pedestrian connectivity within area, from concept design.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BFE4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F4516C" w:rsidRPr="00A8764C" w14:paraId="15DB18C0" w14:textId="77777777" w:rsidTr="00B52368">
        <w:trPr>
          <w:trHeight w:val="499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D5B33EE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EE3E695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1DA05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Opportunities implemented (at least one) to improve business connectivity</w:t>
            </w:r>
            <w:r w:rsidR="0054318D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within project footprint, from concept design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96E8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F4516C" w:rsidRPr="00A8764C" w14:paraId="43F6DEDC" w14:textId="77777777" w:rsidTr="00B52368">
        <w:trPr>
          <w:trHeight w:val="535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15148C2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0E721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FE714" w14:textId="77777777" w:rsidR="00F4516C" w:rsidRPr="00A8764C" w:rsidRDefault="0054318D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Additional cyclist paths (at least one) are included in final design to increase cyclist connectivity within area, from concept design.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E179" w14:textId="77777777" w:rsidR="00F4516C" w:rsidRPr="00A8764C" w:rsidRDefault="00F4516C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6D3D497C" w14:textId="77777777" w:rsidTr="00B52368">
        <w:trPr>
          <w:trHeight w:val="17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D07A2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8EB4161" w14:textId="77777777" w:rsidR="00DE7687" w:rsidRPr="00A8764C" w:rsidRDefault="00286405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Project design considers future connectivity improvements</w:t>
            </w:r>
          </w:p>
        </w:tc>
        <w:tc>
          <w:tcPr>
            <w:tcW w:w="76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437C8A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Opportunities implemented (at least one) </w:t>
            </w:r>
            <w:r w:rsidR="00286405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connecting the final design to the future (ultimate case) PSP and future projects.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B0A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7F3E8005" w14:textId="77777777" w:rsidTr="00B52368">
        <w:trPr>
          <w:trHeight w:val="2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ED7D31"/>
            <w:noWrap/>
            <w:vAlign w:val="center"/>
            <w:hideMark/>
          </w:tcPr>
          <w:p w14:paraId="633905F1" w14:textId="77777777" w:rsidR="00DE7687" w:rsidRPr="00A8764C" w:rsidRDefault="0074302E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72576" behindDoc="1" locked="0" layoutInCell="1" allowOverlap="1" wp14:anchorId="45B1A2C6" wp14:editId="4ABE5D2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222885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687"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Resource Efficiency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5DDF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Generate less waste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150C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Reduce raw material consumption by substituting at least 5% of virgin materials for materials with recycled waste content.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D7E7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DE7687" w:rsidRPr="00A8764C" w14:paraId="6C0EF3FE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BC24E7B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9988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D56B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Consideration of ultimate design in planning (at least 1 opportunity implemented) to minimise "wasted" works when future projects are undertaken (i.e. Albany Hwy Upgrade and Orrong Road Upgrade).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DAD6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</w:t>
            </w:r>
          </w:p>
        </w:tc>
      </w:tr>
      <w:tr w:rsidR="00DE7687" w:rsidRPr="00A8764C" w14:paraId="7EF30725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4B35694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0D369F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Recover more value and resources from waste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536D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Recover &gt;75% outputs.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E87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DE7687" w:rsidRPr="00A8764C" w14:paraId="09C135D2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C661D6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823E0E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33F7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Divert &gt;50% inert outputs from landfill.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30F7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DE7687" w:rsidRPr="00A8764C" w14:paraId="7EE323D3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43A74B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C1F2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47F2D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Divert &gt;50% of other resource outputs from landfill.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B0EC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DE7687" w:rsidRPr="00A8764C" w14:paraId="29EEE4A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AE24A8A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5277C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92F69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Divert &gt;50% office outputs from </w:t>
            </w:r>
            <w:r w:rsidR="00A5270E" w:rsidRPr="008E3E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landfill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9221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DE7687" w:rsidRPr="00A8764C" w14:paraId="3DAF59D2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CC71E15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0DD9DAAF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Manage waste responsibly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710E3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Reduce life cycle environmental impacts of materials by ≥5% from </w:t>
            </w:r>
            <w:proofErr w:type="spellStart"/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BaU</w:t>
            </w:r>
            <w:proofErr w:type="spellEnd"/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according to the completed Life Cycle Assessment (Rso-6).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BFD7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DE7687" w:rsidRPr="00A8764C" w14:paraId="608E54E9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B15A868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8EA4C76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42AED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&gt;15% of all outputs to landfill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9AB0" w14:textId="77777777" w:rsidR="00DE7687" w:rsidRPr="00A8764C" w:rsidRDefault="00DE7687" w:rsidP="00A8764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Construction</w:t>
            </w:r>
          </w:p>
        </w:tc>
      </w:tr>
      <w:tr w:rsidR="00CC30FC" w:rsidRPr="00A8764C" w14:paraId="34B01BDF" w14:textId="77777777" w:rsidTr="00B52368">
        <w:trPr>
          <w:trHeight w:val="2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81237"/>
            <w:vAlign w:val="center"/>
          </w:tcPr>
          <w:p w14:paraId="4F5C5BF7" w14:textId="77777777" w:rsidR="00CC30FC" w:rsidRPr="00A8764C" w:rsidRDefault="00254BA8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74624" behindDoc="1" locked="0" layoutInCell="1" allowOverlap="1" wp14:anchorId="04083EC5" wp14:editId="4B5CB56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363220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02E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76672" behindDoc="1" locked="0" layoutInCell="1" allowOverlap="1" wp14:anchorId="3EA70B5A" wp14:editId="296B4F9E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374015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0FC"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Industry Sustainability</w:t>
            </w:r>
          </w:p>
        </w:tc>
        <w:tc>
          <w:tcPr>
            <w:tcW w:w="30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0ED19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Increase Aboriginal Employment</w:t>
            </w:r>
          </w:p>
        </w:tc>
        <w:tc>
          <w:tcPr>
            <w:tcW w:w="76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D48DCE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At least 10% of the total work hours are undertaken by Aboriginal Persons.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FABD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3AC704D4" w14:textId="77777777" w:rsidTr="00B52368">
        <w:trPr>
          <w:trHeight w:val="20"/>
        </w:trPr>
        <w:tc>
          <w:tcPr>
            <w:tcW w:w="2187" w:type="dxa"/>
            <w:vMerge/>
            <w:tcBorders>
              <w:left w:val="single" w:sz="4" w:space="0" w:color="auto"/>
              <w:right w:val="nil"/>
            </w:tcBorders>
            <w:shd w:val="clear" w:color="auto" w:fill="B81237"/>
            <w:vAlign w:val="center"/>
          </w:tcPr>
          <w:p w14:paraId="632A137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A0483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Increase Aboriginal Participation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CC0396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Works and/or services to a value of at least 2% of the contract sum are undertaken by Aboriginal Businesses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5DD9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2C11A035" w14:textId="77777777" w:rsidTr="00B52368">
        <w:trPr>
          <w:trHeight w:val="20"/>
        </w:trPr>
        <w:tc>
          <w:tcPr>
            <w:tcW w:w="2187" w:type="dxa"/>
            <w:vMerge/>
            <w:tcBorders>
              <w:left w:val="single" w:sz="4" w:space="0" w:color="auto"/>
              <w:right w:val="nil"/>
            </w:tcBorders>
            <w:shd w:val="clear" w:color="auto" w:fill="B81237"/>
            <w:vAlign w:val="center"/>
          </w:tcPr>
          <w:p w14:paraId="00111F4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A57C4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Increase Cultural Awareness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35B3AC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All </w:t>
            </w:r>
            <w:r w:rsidR="00B60480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long-term </w:t>
            </w: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Alliance employees to undertake cultural awareness training.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C12D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5196C4A4" w14:textId="77777777" w:rsidTr="00B52368">
        <w:trPr>
          <w:trHeight w:val="20"/>
        </w:trPr>
        <w:tc>
          <w:tcPr>
            <w:tcW w:w="2187" w:type="dxa"/>
            <w:vMerge/>
            <w:tcBorders>
              <w:left w:val="single" w:sz="4" w:space="0" w:color="auto"/>
              <w:right w:val="nil"/>
            </w:tcBorders>
            <w:shd w:val="clear" w:color="auto" w:fill="B81237"/>
            <w:vAlign w:val="center"/>
          </w:tcPr>
          <w:p w14:paraId="3B3BE85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C6E2E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Improve Alliance Health and Well-being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2B8CC4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Greater than 70% positive response from LWA team in Alliance Health survey.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FB91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FB524D" w:rsidRPr="00A8764C" w14:paraId="361C1829" w14:textId="77777777" w:rsidTr="00B52368">
        <w:trPr>
          <w:trHeight w:val="20"/>
        </w:trPr>
        <w:tc>
          <w:tcPr>
            <w:tcW w:w="2187" w:type="dxa"/>
            <w:vMerge/>
            <w:tcBorders>
              <w:left w:val="single" w:sz="4" w:space="0" w:color="auto"/>
              <w:right w:val="nil"/>
            </w:tcBorders>
            <w:shd w:val="clear" w:color="auto" w:fill="B81237"/>
            <w:vAlign w:val="center"/>
          </w:tcPr>
          <w:p w14:paraId="2002A5B1" w14:textId="77777777" w:rsidR="00FB524D" w:rsidRPr="00A8764C" w:rsidRDefault="00FB524D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B302C" w14:textId="77777777" w:rsidR="00FB524D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Support Industry Training and Development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93DCA6" w14:textId="77777777" w:rsidR="00FB524D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Run a Certificate II training program and engage participants on the Project.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4D63F" w14:textId="77777777" w:rsidR="00FB524D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64B4E1D1" w14:textId="77777777" w:rsidTr="00B52368">
        <w:trPr>
          <w:trHeight w:val="20"/>
        </w:trPr>
        <w:tc>
          <w:tcPr>
            <w:tcW w:w="2187" w:type="dxa"/>
            <w:vMerge/>
            <w:tcBorders>
              <w:left w:val="single" w:sz="4" w:space="0" w:color="auto"/>
              <w:bottom w:val="double" w:sz="6" w:space="0" w:color="000000"/>
              <w:right w:val="nil"/>
            </w:tcBorders>
            <w:shd w:val="clear" w:color="auto" w:fill="B81237"/>
            <w:vAlign w:val="center"/>
          </w:tcPr>
          <w:p w14:paraId="6ED7BE9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B7EE63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Support </w:t>
            </w:r>
            <w:r w:rsidR="00B05F2F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lower-tier subcontractors and suppliers’ development in industry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14:paraId="5C414114" w14:textId="77777777" w:rsidR="00CC30FC" w:rsidRPr="008E3E74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At least 10% of direct cost target is awarded to MRWA Prequalified Contractors.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726F" w14:textId="77777777" w:rsidR="00CC30FC" w:rsidRPr="008E3E74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253CB951" w14:textId="77777777" w:rsidTr="00B52368">
        <w:trPr>
          <w:trHeight w:val="2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008072"/>
            <w:vAlign w:val="center"/>
            <w:hideMark/>
          </w:tcPr>
          <w:p w14:paraId="0A47F26F" w14:textId="77777777" w:rsidR="00CC30FC" w:rsidRPr="00A8764C" w:rsidRDefault="0074302E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80768" behindDoc="1" locked="0" layoutInCell="1" allowOverlap="1" wp14:anchorId="14DA24A9" wp14:editId="0FBD2D15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950595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84864" behindDoc="1" locked="0" layoutInCell="1" allowOverlap="1" wp14:anchorId="67772F41" wp14:editId="625CCC6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957580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82816" behindDoc="1" locked="0" layoutInCell="1" allowOverlap="1" wp14:anchorId="1D1A1B3B" wp14:editId="0D93666D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344805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78720" behindDoc="1" locked="0" layoutInCell="1" allowOverlap="1" wp14:anchorId="6ACD1BB7" wp14:editId="59AD3D8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343535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0FC" w:rsidRPr="00A8764C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  <w:t>Deliver Sustainable Infrastructure</w:t>
            </w:r>
          </w:p>
        </w:tc>
        <w:tc>
          <w:tcPr>
            <w:tcW w:w="3053" w:type="dxa"/>
            <w:vMerge w:val="restart"/>
            <w:tcBorders>
              <w:top w:val="double" w:sz="4" w:space="0" w:color="auto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052C4832" w14:textId="77777777" w:rsidR="00CC30FC" w:rsidRPr="00A8764C" w:rsidRDefault="0006379E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8E3E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Maximise</w:t>
            </w:r>
            <w:r w:rsidR="00CF7435" w:rsidRPr="008E3E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Sustainable Practices</w:t>
            </w:r>
            <w:r w:rsidR="00D852B0" w:rsidRPr="008E3E74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 xml:space="preserve"> and Outcomes in Delivery of Infrastructure </w:t>
            </w:r>
          </w:p>
        </w:tc>
        <w:tc>
          <w:tcPr>
            <w:tcW w:w="76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A5EAA" w14:textId="77777777" w:rsidR="00CC30FC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Feedback is attained from Local Government Authority confirming genuine incorporation of sustainability outcomes in the development of infrastructure.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519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B05F2F" w:rsidRPr="00A8764C" w14:paraId="2E9D65B5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14:paraId="259E1964" w14:textId="77777777" w:rsidR="00B05F2F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14:paraId="3D40D750" w14:textId="77777777" w:rsidR="00B05F2F" w:rsidRPr="00A8764C" w:rsidRDefault="00B05F2F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90E490" w14:textId="77777777" w:rsidR="00B05F2F" w:rsidRPr="00A8764C" w:rsidRDefault="008675E1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8675E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an ISC ISv2.0 Design and As Built Score of &gt;40 (Self-Assessed by the Project and verified by Main Roads WA).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D539D" w14:textId="77777777" w:rsidR="00B05F2F" w:rsidRPr="00A8764C" w:rsidRDefault="008675E1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6A795E2F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53A90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F88091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242B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Con-2 Urban and Landscape Design Context Level 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AA7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4664FE3F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D1F31C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0C6618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98DDC" w14:textId="77777777" w:rsidR="00CC30FC" w:rsidRPr="00A8764C" w:rsidRDefault="00515363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</w:t>
            </w:r>
            <w:r w:rsidR="00CC30FC"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 xml:space="preserve">chieve ISv2.0 Lea-1 Sustainability Strategy, Level 2.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DB6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38EB23AC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B7A8C1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75CC943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1DBB1" w14:textId="77777777" w:rsidR="00CC30FC" w:rsidRPr="00A8764C" w:rsidRDefault="00515363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B5236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Assess direct and indirect environmental, social, economic and governance risks and opportunities and a</w:t>
            </w:r>
            <w:r w:rsidR="00CC30FC" w:rsidRPr="0051536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chieve ISv2.0 Lea-2 Risks and Opportunities,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F2A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2D27EA06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FC4550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9FDC0D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B916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 xml:space="preserve">Achieve ISv2.0 Lea-3 Knowledge Sharing, Level 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11F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5399311E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F49A6B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78EBA8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803C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Implement sustainable procurement practices and achieve ISv2.0 Spr-1,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A3B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5BF96611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6FE27F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F50D174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01FF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Implement sustainable procurement practices and achieve ISv2.0 Spr-2,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066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243FF03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9CD882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CEDCC5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4DC9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Implement sustainable procurement practices and achieve ISv2.0 Spr-3,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E63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05743685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EF9A8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A08862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0A20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 xml:space="preserve">Assess risks related to climate change and natural hazards within infrastructure </w:t>
            </w:r>
            <w:r w:rsidRPr="008E3E7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and</w:t>
            </w: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 xml:space="preserve"> achieve ISv2.0 Credit Res-2 Climate and Natural Hazards Level 2.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928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4600E312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65C332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A22564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49AB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 xml:space="preserve">Incorporate environmental, social, economic and governance value in decision making and achieve ISv2.0 Credit Ecn-1 Options Assessment, Level 1.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204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45C2F04F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B1403C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9E0A34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3F1E4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Examine whole-of-life costs and achieve ISv2.0 Ecn-4,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ACA4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6CB2AC74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289F3A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154DED3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5355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Ene-1 Energy and Carbon Reduction Level 1 and achieve a reduction of up to 5% from the base case.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520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2B6DE57E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D8ED1E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B177D3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A4DF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Env-2 Noise,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BB8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308374AD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209E16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017E81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0318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Env-3 Vibration,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844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24F5CBD7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E1FDA2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6FFF03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E573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Env-4 Air Quality,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143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4BDCE78C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99B79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826114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275D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Env-5 Light Pollution,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7BC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69445BE9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4ABC6A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CF15BA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6AF53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Rso-1 Resource Strategy Development,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D4E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4ABBEC5E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E86EA1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8D026A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8103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Rso-4 Resource Recovery,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DA4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202A2F9D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667BC8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4B91E0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0C95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Rso-6 Material Lifecycle Impact Measure and Management, Level 1, and at least 5% material impacts reduced from the base case.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7C8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66C9CF7D" w14:textId="77777777" w:rsidTr="00B52368">
        <w:trPr>
          <w:trHeight w:val="221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D71703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3EA506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AA31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Implement at least one product with a sustainability label (aligned with ISv2.0 Credit Rso-7)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250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00DEC5C3" w14:textId="77777777" w:rsidTr="00B52368">
        <w:trPr>
          <w:trHeight w:val="327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29ECF6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E74918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0B58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Wat-1 Water Use Level 1, and at least 5% reduction in water consumption from the base case.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A834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4E8299EE" w14:textId="77777777" w:rsidTr="00B52368">
        <w:trPr>
          <w:trHeight w:val="291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D55686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093622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A629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Wat-2 Appropriate Use of Water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199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697177AA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358198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5D8104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8101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Sta-1,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D2B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3FCACCB3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108B60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63B513B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80A7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Sta-2,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573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55E7EF73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21BCD6F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FA5166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A648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Leg-1 Leaving a Lasting Legacy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B44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Design, Construction &amp; Operation</w:t>
            </w:r>
          </w:p>
        </w:tc>
      </w:tr>
      <w:tr w:rsidR="00CC30FC" w:rsidRPr="00A8764C" w14:paraId="565FD1F2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DD9E3D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B05CF5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5DED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Her-1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29C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6B0E5B8D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5060728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34D65F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EA0A9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Wfs-2 Jobs and Skills,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2FA3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75E1767F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0DB1A2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087DDD5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5F1AC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Wfs-3 Workforce Culture and Wellbeing, Level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1D4A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  <w:tr w:rsidR="00CC30FC" w:rsidRPr="00A8764C" w14:paraId="235A9481" w14:textId="77777777" w:rsidTr="00B52368">
        <w:trPr>
          <w:trHeight w:val="2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BE570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DEAE7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98B5E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Achieve ISv2.0 Credit Wfs-4 Diversity and Inclusion, Level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5AC2" w14:textId="77777777" w:rsidR="00CC30FC" w:rsidRPr="00A8764C" w:rsidRDefault="00CC30FC" w:rsidP="00CC30F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</w:pPr>
            <w:r w:rsidRPr="00A8764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AU"/>
              </w:rPr>
              <w:t>Design &amp; Construction</w:t>
            </w:r>
          </w:p>
        </w:tc>
      </w:tr>
    </w:tbl>
    <w:p w14:paraId="64FFCC0A" w14:textId="77777777" w:rsidR="00971D28" w:rsidRDefault="00523F40"/>
    <w:sectPr w:rsidR="00971D28" w:rsidSect="008406D3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42AE" w14:textId="77777777" w:rsidR="00F17FA9" w:rsidRDefault="00F17FA9" w:rsidP="00151DF0">
      <w:pPr>
        <w:spacing w:after="0" w:line="240" w:lineRule="auto"/>
      </w:pPr>
      <w:r>
        <w:separator/>
      </w:r>
    </w:p>
  </w:endnote>
  <w:endnote w:type="continuationSeparator" w:id="0">
    <w:p w14:paraId="5D98F6D6" w14:textId="77777777" w:rsidR="00F17FA9" w:rsidRDefault="00F17FA9" w:rsidP="0015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703" w14:textId="77777777" w:rsidR="00F17FA9" w:rsidRDefault="00F17FA9" w:rsidP="00151DF0">
      <w:pPr>
        <w:spacing w:after="0" w:line="240" w:lineRule="auto"/>
      </w:pPr>
      <w:r>
        <w:separator/>
      </w:r>
    </w:p>
  </w:footnote>
  <w:footnote w:type="continuationSeparator" w:id="0">
    <w:p w14:paraId="24E0F317" w14:textId="77777777" w:rsidR="00F17FA9" w:rsidRDefault="00F17FA9" w:rsidP="0015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5903" w14:textId="77777777" w:rsidR="00151DF0" w:rsidRDefault="007430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F11397B" wp14:editId="12D6FECD">
          <wp:simplePos x="0" y="0"/>
          <wp:positionH relativeFrom="column">
            <wp:posOffset>9420045</wp:posOffset>
          </wp:positionH>
          <wp:positionV relativeFrom="paragraph">
            <wp:posOffset>-371942</wp:posOffset>
          </wp:positionV>
          <wp:extent cx="613602" cy="613602"/>
          <wp:effectExtent l="0" t="0" r="0" b="0"/>
          <wp:wrapNone/>
          <wp:docPr id="6" name="Picture 2" descr="Communications materials – United Nations Sustainable Development">
            <a:extLst xmlns:a="http://schemas.openxmlformats.org/drawingml/2006/main">
              <a:ext uri="{FF2B5EF4-FFF2-40B4-BE49-F238E27FC236}">
                <a16:creationId xmlns:a16="http://schemas.microsoft.com/office/drawing/2014/main" id="{B03EB31A-2FEE-48F2-90C8-85F3C9BF64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ommunications materials – United Nations Sustainable Development">
                    <a:extLst>
                      <a:ext uri="{FF2B5EF4-FFF2-40B4-BE49-F238E27FC236}">
                        <a16:creationId xmlns:a16="http://schemas.microsoft.com/office/drawing/2014/main" id="{B03EB31A-2FEE-48F2-90C8-85F3C9BF640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22" cy="617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4B2">
      <w:rPr>
        <w:noProof/>
        <w:color w:val="ED7D31" w:themeColor="accent2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5CF9AD27" wp14:editId="71749139">
          <wp:simplePos x="0" y="0"/>
          <wp:positionH relativeFrom="column">
            <wp:posOffset>-612476</wp:posOffset>
          </wp:positionH>
          <wp:positionV relativeFrom="paragraph">
            <wp:posOffset>-440390</wp:posOffset>
          </wp:positionV>
          <wp:extent cx="2638425" cy="734695"/>
          <wp:effectExtent l="0" t="0" r="9525" b="8255"/>
          <wp:wrapTight wrapText="bothSides">
            <wp:wrapPolygon edited="0">
              <wp:start x="0" y="0"/>
              <wp:lineTo x="0" y="21283"/>
              <wp:lineTo x="21522" y="21283"/>
              <wp:lineTo x="21522" y="0"/>
              <wp:lineTo x="0" y="0"/>
            </wp:wrapPolygon>
          </wp:wrapTight>
          <wp:docPr id="22" name="Picture 22" descr="C:\Users\clee\AppData\Local\Microsoft\Windows\INetCache\Content.Word\OFFICAL Leach Welshpool Allia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ee\AppData\Local\Microsoft\Windows\INetCache\Content.Word\OFFICAL Leach Welshpool Allianc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0D"/>
    <w:rsid w:val="00002B55"/>
    <w:rsid w:val="000235D9"/>
    <w:rsid w:val="0002499B"/>
    <w:rsid w:val="00027D7E"/>
    <w:rsid w:val="000334CF"/>
    <w:rsid w:val="0006379E"/>
    <w:rsid w:val="000670A8"/>
    <w:rsid w:val="00090E9F"/>
    <w:rsid w:val="000B2D97"/>
    <w:rsid w:val="00151DF0"/>
    <w:rsid w:val="00157370"/>
    <w:rsid w:val="00164E11"/>
    <w:rsid w:val="00166909"/>
    <w:rsid w:val="001E062A"/>
    <w:rsid w:val="00203892"/>
    <w:rsid w:val="00254BA8"/>
    <w:rsid w:val="002602FF"/>
    <w:rsid w:val="002713AB"/>
    <w:rsid w:val="00286405"/>
    <w:rsid w:val="0029343D"/>
    <w:rsid w:val="002B3811"/>
    <w:rsid w:val="002D3A6E"/>
    <w:rsid w:val="002E5702"/>
    <w:rsid w:val="002F6226"/>
    <w:rsid w:val="003115F4"/>
    <w:rsid w:val="0031635C"/>
    <w:rsid w:val="0032203C"/>
    <w:rsid w:val="003C4CB7"/>
    <w:rsid w:val="003E272A"/>
    <w:rsid w:val="003E38C4"/>
    <w:rsid w:val="00425F06"/>
    <w:rsid w:val="00434255"/>
    <w:rsid w:val="004A362B"/>
    <w:rsid w:val="004A5857"/>
    <w:rsid w:val="004D193D"/>
    <w:rsid w:val="0050464C"/>
    <w:rsid w:val="00515363"/>
    <w:rsid w:val="00523F40"/>
    <w:rsid w:val="0054318D"/>
    <w:rsid w:val="00550C9A"/>
    <w:rsid w:val="005B07EE"/>
    <w:rsid w:val="005D4A10"/>
    <w:rsid w:val="0061461A"/>
    <w:rsid w:val="006268F8"/>
    <w:rsid w:val="00681179"/>
    <w:rsid w:val="006E1C74"/>
    <w:rsid w:val="0074302E"/>
    <w:rsid w:val="0074316C"/>
    <w:rsid w:val="007A51AC"/>
    <w:rsid w:val="007B1F4E"/>
    <w:rsid w:val="007F6281"/>
    <w:rsid w:val="008029A8"/>
    <w:rsid w:val="008406D3"/>
    <w:rsid w:val="008675E1"/>
    <w:rsid w:val="008E3E74"/>
    <w:rsid w:val="008F472E"/>
    <w:rsid w:val="00910B9B"/>
    <w:rsid w:val="0091350D"/>
    <w:rsid w:val="009B1DEB"/>
    <w:rsid w:val="00A5270E"/>
    <w:rsid w:val="00A8764C"/>
    <w:rsid w:val="00A905A8"/>
    <w:rsid w:val="00A94572"/>
    <w:rsid w:val="00B05F2F"/>
    <w:rsid w:val="00B478C2"/>
    <w:rsid w:val="00B52368"/>
    <w:rsid w:val="00B60480"/>
    <w:rsid w:val="00B83B65"/>
    <w:rsid w:val="00B97587"/>
    <w:rsid w:val="00BC23F8"/>
    <w:rsid w:val="00BC6074"/>
    <w:rsid w:val="00BD5504"/>
    <w:rsid w:val="00BE2C84"/>
    <w:rsid w:val="00C06497"/>
    <w:rsid w:val="00C113BD"/>
    <w:rsid w:val="00C25B64"/>
    <w:rsid w:val="00C27E26"/>
    <w:rsid w:val="00C5715B"/>
    <w:rsid w:val="00C934B2"/>
    <w:rsid w:val="00CB270B"/>
    <w:rsid w:val="00CC30FC"/>
    <w:rsid w:val="00CF7435"/>
    <w:rsid w:val="00D01AFF"/>
    <w:rsid w:val="00D02521"/>
    <w:rsid w:val="00D66493"/>
    <w:rsid w:val="00D705BF"/>
    <w:rsid w:val="00D75E4C"/>
    <w:rsid w:val="00D852B0"/>
    <w:rsid w:val="00DD0322"/>
    <w:rsid w:val="00DD231E"/>
    <w:rsid w:val="00DD68CE"/>
    <w:rsid w:val="00DE7687"/>
    <w:rsid w:val="00E67283"/>
    <w:rsid w:val="00E80ABE"/>
    <w:rsid w:val="00E851CF"/>
    <w:rsid w:val="00E916E2"/>
    <w:rsid w:val="00E963DA"/>
    <w:rsid w:val="00F17FA9"/>
    <w:rsid w:val="00F4516C"/>
    <w:rsid w:val="00F92506"/>
    <w:rsid w:val="00FB524D"/>
    <w:rsid w:val="00FC477A"/>
    <w:rsid w:val="00FE4961"/>
    <w:rsid w:val="00FF42F7"/>
    <w:rsid w:val="0A2D0C21"/>
    <w:rsid w:val="1673F344"/>
    <w:rsid w:val="2001AD2D"/>
    <w:rsid w:val="4C532F84"/>
    <w:rsid w:val="54BA8CB8"/>
    <w:rsid w:val="55E0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8071"/>
  <w15:chartTrackingRefBased/>
  <w15:docId w15:val="{889D990F-8E62-4390-9C99-C66DF8D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F0"/>
  </w:style>
  <w:style w:type="paragraph" w:styleId="Footer">
    <w:name w:val="footer"/>
    <w:basedOn w:val="Normal"/>
    <w:link w:val="FooterChar"/>
    <w:uiPriority w:val="99"/>
    <w:unhideWhenUsed/>
    <w:rsid w:val="00151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F0"/>
  </w:style>
  <w:style w:type="character" w:styleId="CommentReference">
    <w:name w:val="annotation reference"/>
    <w:basedOn w:val="DefaultParagraphFont"/>
    <w:uiPriority w:val="99"/>
    <w:semiHidden/>
    <w:unhideWhenUsed/>
    <w:rsid w:val="00E91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C20B0F1C16F4E95EF263220870F59" ma:contentTypeVersion="15" ma:contentTypeDescription="Create a new document." ma:contentTypeScope="" ma:versionID="0a660747fc795430c69f87d6baa2e3e2">
  <xsd:schema xmlns:xsd="http://www.w3.org/2001/XMLSchema" xmlns:xs="http://www.w3.org/2001/XMLSchema" xmlns:p="http://schemas.microsoft.com/office/2006/metadata/properties" xmlns:ns1="http://schemas.microsoft.com/sharepoint/v3" xmlns:ns2="01fb96c7-e720-4331-86e2-11f871e23003" xmlns:ns3="6c843560-f293-4a45-ad9b-7de062c6b356" targetNamespace="http://schemas.microsoft.com/office/2006/metadata/properties" ma:root="true" ma:fieldsID="d57b634f5b6f963251cce354b7c33825" ns1:_="" ns2:_="" ns3:_="">
    <xsd:import namespace="http://schemas.microsoft.com/sharepoint/v3"/>
    <xsd:import namespace="01fb96c7-e720-4331-86e2-11f871e23003"/>
    <xsd:import namespace="6c843560-f293-4a45-ad9b-7de062c6b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96c7-e720-4331-86e2-11f871e23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3560-f293-4a45-ad9b-7de062c6b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1BA3C-F326-476C-9426-C4EC87CEF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253AF-F7C5-473F-89BD-2979DD2E0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fb96c7-e720-4331-86e2-11f871e23003"/>
    <ds:schemaRef ds:uri="6c843560-f293-4a45-ad9b-7de062c6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FF216-66FA-46E5-980D-BBDCF49A9B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1386</Words>
  <Characters>7904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Georgiou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Arias</dc:creator>
  <cp:keywords/>
  <dc:description/>
  <cp:lastModifiedBy>GIOFFRE Rita (Con)</cp:lastModifiedBy>
  <cp:revision>2</cp:revision>
  <cp:lastPrinted>2022-09-28T06:32:00Z</cp:lastPrinted>
  <dcterms:created xsi:type="dcterms:W3CDTF">2022-09-28T06:35:00Z</dcterms:created>
  <dcterms:modified xsi:type="dcterms:W3CDTF">2022-09-28T06:35:00Z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0x010100A9EC20B0F1C16F4E95EF263220870F59</vt:lpwstr>
  </property>
</Properties>
</file>