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25" w:rsidRPr="009B6A33" w:rsidRDefault="007256C7" w:rsidP="005A7876">
      <w:pPr>
        <w:pStyle w:val="Heading1"/>
        <w:rPr>
          <w:rFonts w:ascii="Segoe UI" w:hAnsi="Segoe UI" w:cs="Segoe UI"/>
          <w:b/>
          <w:sz w:val="48"/>
          <w:szCs w:val="48"/>
        </w:rPr>
      </w:pPr>
      <w:r w:rsidRPr="009B6A33">
        <w:rPr>
          <w:rFonts w:ascii="Segoe UI" w:hAnsi="Segoe UI" w:cs="Segoe UI"/>
          <w:b/>
          <w:noProof/>
          <w:sz w:val="48"/>
          <w:szCs w:val="48"/>
          <w:lang w:eastAsia="en-AU"/>
        </w:rPr>
        <w:drawing>
          <wp:anchor distT="0" distB="0" distL="114300" distR="114300" simplePos="0" relativeHeight="251658752" behindDoc="0" locked="0" layoutInCell="1" allowOverlap="1" wp14:anchorId="5818DDBF" wp14:editId="4CFFD4E2">
            <wp:simplePos x="0" y="0"/>
            <wp:positionH relativeFrom="column">
              <wp:posOffset>7471410</wp:posOffset>
            </wp:positionH>
            <wp:positionV relativeFrom="margin">
              <wp:posOffset>-509270</wp:posOffset>
            </wp:positionV>
            <wp:extent cx="2159635" cy="4972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WA%20and%20Sta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3F7">
        <w:rPr>
          <w:rFonts w:ascii="Segoe UI" w:hAnsi="Segoe UI" w:cs="Segoe UI"/>
          <w:b/>
          <w:sz w:val="20"/>
          <w:szCs w:val="20"/>
        </w:rPr>
        <w:br/>
      </w:r>
      <w:r w:rsidR="009B6A33" w:rsidRPr="009B6A33">
        <w:rPr>
          <w:rFonts w:ascii="Segoe UI" w:hAnsi="Segoe UI" w:cs="Segoe UI"/>
          <w:b/>
          <w:sz w:val="48"/>
          <w:szCs w:val="48"/>
        </w:rPr>
        <w:t>A Guide to Community and Stakeholder Reference Groups</w:t>
      </w:r>
    </w:p>
    <w:p w:rsidR="008C1325" w:rsidRDefault="008C1325" w:rsidP="008C1325">
      <w:pPr>
        <w:autoSpaceDE w:val="0"/>
        <w:autoSpaceDN w:val="0"/>
        <w:adjustRightInd w:val="0"/>
        <w:rPr>
          <w:rFonts w:ascii="Segoe UI" w:hAnsi="Segoe UI" w:cs="Segoe UI"/>
          <w:color w:val="000000" w:themeColor="text1"/>
          <w:sz w:val="20"/>
        </w:rPr>
      </w:pPr>
    </w:p>
    <w:p w:rsidR="009B6A33" w:rsidRPr="009B6A33" w:rsidRDefault="009B6A33" w:rsidP="008C1325">
      <w:pPr>
        <w:autoSpaceDE w:val="0"/>
        <w:autoSpaceDN w:val="0"/>
        <w:adjustRightInd w:val="0"/>
        <w:rPr>
          <w:rFonts w:ascii="Segoe UI" w:hAnsi="Segoe UI" w:cs="Segoe UI"/>
          <w:color w:val="000000" w:themeColor="text1"/>
          <w:szCs w:val="22"/>
        </w:rPr>
      </w:pPr>
      <w:r w:rsidRPr="009B6A33">
        <w:rPr>
          <w:rFonts w:ascii="Segoe UI" w:hAnsi="Segoe UI" w:cs="Segoe UI"/>
          <w:color w:val="000000" w:themeColor="text1"/>
          <w:szCs w:val="22"/>
        </w:rPr>
        <w:t>Reference Groups are a key mechanism for involving community members and stakeholders in our projects.</w:t>
      </w:r>
    </w:p>
    <w:p w:rsidR="009B6A33" w:rsidRPr="009B6A33" w:rsidRDefault="009B6A33" w:rsidP="008C1325">
      <w:pPr>
        <w:autoSpaceDE w:val="0"/>
        <w:autoSpaceDN w:val="0"/>
        <w:adjustRightInd w:val="0"/>
        <w:rPr>
          <w:rFonts w:ascii="Segoe UI" w:hAnsi="Segoe UI" w:cs="Segoe UI"/>
          <w:color w:val="000000" w:themeColor="text1"/>
          <w:szCs w:val="22"/>
        </w:rPr>
      </w:pPr>
    </w:p>
    <w:p w:rsidR="009B6A33" w:rsidRPr="009B6A33" w:rsidRDefault="009B6A33" w:rsidP="008C1325">
      <w:pPr>
        <w:autoSpaceDE w:val="0"/>
        <w:autoSpaceDN w:val="0"/>
        <w:adjustRightInd w:val="0"/>
        <w:rPr>
          <w:rFonts w:ascii="Segoe UI" w:hAnsi="Segoe UI" w:cs="Segoe UI"/>
          <w:color w:val="000000" w:themeColor="text1"/>
          <w:szCs w:val="22"/>
        </w:rPr>
      </w:pPr>
      <w:r w:rsidRPr="009B6A33">
        <w:rPr>
          <w:rFonts w:ascii="Segoe UI" w:hAnsi="Segoe UI" w:cs="Segoe UI"/>
          <w:color w:val="000000" w:themeColor="text1"/>
          <w:szCs w:val="22"/>
        </w:rPr>
        <w:t>Like all our engagement activities, we recognise there is no ‘one size fits all’ approach, so we have created a range of Reference Groups that will help achieve sustainable, mutually beneficial outcomes across the entire project lifecycle.</w:t>
      </w:r>
    </w:p>
    <w:p w:rsidR="002E1D30" w:rsidRPr="00475F89" w:rsidRDefault="002E1D30" w:rsidP="002E1D30">
      <w:pPr>
        <w:rPr>
          <w:rFonts w:ascii="Segoe UI" w:hAnsi="Segoe UI" w:cs="Segoe UI"/>
          <w:color w:val="000000" w:themeColor="text1"/>
          <w:sz w:val="20"/>
          <w:szCs w:val="20"/>
        </w:rPr>
      </w:pPr>
    </w:p>
    <w:tbl>
      <w:tblPr>
        <w:tblW w:w="5000" w:type="pct"/>
        <w:tblInd w:w="18" w:type="dxa"/>
        <w:tblBorders>
          <w:top w:val="single" w:sz="6" w:space="0" w:color="00876C"/>
          <w:left w:val="single" w:sz="6" w:space="0" w:color="00876C"/>
          <w:bottom w:val="single" w:sz="6" w:space="0" w:color="00876C"/>
          <w:right w:val="single" w:sz="6" w:space="0" w:color="00876C"/>
          <w:insideH w:val="single" w:sz="6" w:space="0" w:color="00876C"/>
          <w:insideV w:val="single" w:sz="6" w:space="0" w:color="00876C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3721"/>
        <w:gridCol w:w="7386"/>
        <w:gridCol w:w="3449"/>
      </w:tblGrid>
      <w:tr w:rsidR="00951AF3" w:rsidRPr="009B6A33" w:rsidTr="009B6A33">
        <w:trPr>
          <w:cantSplit/>
        </w:trPr>
        <w:tc>
          <w:tcPr>
            <w:tcW w:w="3783" w:type="dxa"/>
            <w:shd w:val="clear" w:color="auto" w:fill="006666"/>
            <w:vAlign w:val="center"/>
          </w:tcPr>
          <w:p w:rsidR="002E1D30" w:rsidRPr="009B6A33" w:rsidRDefault="009B6A33" w:rsidP="00AA15F9">
            <w:pPr>
              <w:rPr>
                <w:rFonts w:ascii="Segoe UI" w:hAnsi="Segoe UI" w:cs="Segoe UI"/>
                <w:b/>
                <w:color w:val="FFFFFF" w:themeColor="background1"/>
                <w:szCs w:val="22"/>
              </w:rPr>
            </w:pPr>
            <w:r w:rsidRPr="009B6A33">
              <w:rPr>
                <w:rFonts w:ascii="Segoe UI" w:hAnsi="Segoe UI" w:cs="Segoe UI"/>
                <w:b/>
                <w:color w:val="FFFFFF" w:themeColor="background1"/>
                <w:szCs w:val="22"/>
              </w:rPr>
              <w:t>Group</w:t>
            </w:r>
          </w:p>
        </w:tc>
        <w:tc>
          <w:tcPr>
            <w:tcW w:w="7513" w:type="dxa"/>
            <w:shd w:val="clear" w:color="auto" w:fill="006666"/>
            <w:vAlign w:val="center"/>
          </w:tcPr>
          <w:p w:rsidR="002E1D30" w:rsidRPr="009B6A33" w:rsidRDefault="009B6A33" w:rsidP="00AA15F9">
            <w:pPr>
              <w:pStyle w:val="Heading4"/>
              <w:keepNext w:val="0"/>
              <w:keepLines w:val="0"/>
              <w:spacing w:before="40" w:after="40"/>
              <w:rPr>
                <w:rFonts w:ascii="Segoe UI" w:hAnsi="Segoe UI" w:cs="Segoe UI"/>
                <w:i w:val="0"/>
                <w:color w:val="FFFFFF" w:themeColor="background1"/>
                <w:szCs w:val="22"/>
              </w:rPr>
            </w:pPr>
            <w:r w:rsidRPr="009B6A33">
              <w:rPr>
                <w:rFonts w:ascii="Segoe UI" w:hAnsi="Segoe UI" w:cs="Segoe UI"/>
                <w:i w:val="0"/>
                <w:color w:val="FFFFFF" w:themeColor="background1"/>
                <w:szCs w:val="22"/>
              </w:rPr>
              <w:t>Purpose</w:t>
            </w:r>
          </w:p>
        </w:tc>
        <w:tc>
          <w:tcPr>
            <w:tcW w:w="3506" w:type="dxa"/>
            <w:shd w:val="clear" w:color="auto" w:fill="006666"/>
            <w:vAlign w:val="center"/>
          </w:tcPr>
          <w:p w:rsidR="002E1D30" w:rsidRPr="009B6A33" w:rsidRDefault="009B6A33" w:rsidP="00AA15F9">
            <w:pPr>
              <w:pStyle w:val="Heading4"/>
              <w:keepNext w:val="0"/>
              <w:keepLines w:val="0"/>
              <w:spacing w:before="40" w:after="40"/>
              <w:rPr>
                <w:rFonts w:ascii="Segoe UI" w:hAnsi="Segoe UI" w:cs="Segoe UI"/>
                <w:i w:val="0"/>
                <w:color w:val="FFFFFF" w:themeColor="background1"/>
                <w:szCs w:val="22"/>
              </w:rPr>
            </w:pPr>
            <w:r w:rsidRPr="009B6A33">
              <w:rPr>
                <w:rFonts w:ascii="Segoe UI" w:hAnsi="Segoe UI" w:cs="Segoe UI"/>
                <w:i w:val="0"/>
                <w:color w:val="FFFFFF" w:themeColor="background1"/>
                <w:szCs w:val="22"/>
              </w:rPr>
              <w:t>Used during</w:t>
            </w:r>
          </w:p>
        </w:tc>
      </w:tr>
      <w:tr w:rsidR="00951AF3" w:rsidRPr="009B6A33" w:rsidTr="009B6A33">
        <w:trPr>
          <w:cantSplit/>
          <w:trHeight w:val="360"/>
        </w:trPr>
        <w:tc>
          <w:tcPr>
            <w:tcW w:w="3783" w:type="dxa"/>
            <w:vAlign w:val="center"/>
          </w:tcPr>
          <w:p w:rsidR="002E1D30" w:rsidRPr="009B6A33" w:rsidRDefault="009B6A33" w:rsidP="00AA15F9">
            <w:pPr>
              <w:rPr>
                <w:rFonts w:ascii="Segoe UI" w:hAnsi="Segoe UI" w:cs="Segoe UI"/>
                <w:color w:val="000000" w:themeColor="text1"/>
                <w:szCs w:val="22"/>
              </w:rPr>
            </w:pPr>
            <w:r w:rsidRPr="009B6A33">
              <w:rPr>
                <w:rFonts w:ascii="Segoe UI" w:hAnsi="Segoe UI" w:cs="Segoe UI"/>
                <w:color w:val="000000" w:themeColor="text1"/>
                <w:szCs w:val="22"/>
              </w:rPr>
              <w:t>Stakeholder Reference Group (SRG)</w:t>
            </w:r>
          </w:p>
        </w:tc>
        <w:tc>
          <w:tcPr>
            <w:tcW w:w="7513" w:type="dxa"/>
            <w:vAlign w:val="center"/>
          </w:tcPr>
          <w:p w:rsidR="002E1D30" w:rsidRPr="009B6A33" w:rsidRDefault="009B6A33" w:rsidP="00AA15F9">
            <w:pPr>
              <w:tabs>
                <w:tab w:val="left" w:pos="2415"/>
              </w:tabs>
              <w:rPr>
                <w:rFonts w:ascii="Segoe UI" w:hAnsi="Segoe UI" w:cs="Segoe UI"/>
                <w:color w:val="000000" w:themeColor="text1"/>
                <w:szCs w:val="22"/>
              </w:rPr>
            </w:pPr>
            <w:r>
              <w:rPr>
                <w:rFonts w:ascii="Segoe UI" w:hAnsi="Segoe UI" w:cs="Segoe UI"/>
                <w:color w:val="000000" w:themeColor="text1"/>
                <w:szCs w:val="22"/>
              </w:rPr>
              <w:t xml:space="preserve">Ensure </w:t>
            </w:r>
            <w:r>
              <w:rPr>
                <w:rFonts w:ascii="Segoe UI" w:hAnsi="Segoe UI" w:cs="Segoe UI"/>
                <w:b/>
                <w:color w:val="000000" w:themeColor="text1"/>
                <w:szCs w:val="22"/>
              </w:rPr>
              <w:t xml:space="preserve">stakeholders </w:t>
            </w:r>
            <w:r>
              <w:rPr>
                <w:rFonts w:ascii="Segoe UI" w:hAnsi="Segoe UI" w:cs="Segoe UI"/>
                <w:color w:val="000000" w:themeColor="text1"/>
                <w:szCs w:val="22"/>
              </w:rPr>
              <w:t>are able to influence the early stages / planning and delivery of a project where possible</w:t>
            </w:r>
            <w:r w:rsidR="00E864C3">
              <w:rPr>
                <w:rFonts w:ascii="Segoe UI" w:hAnsi="Segoe UI" w:cs="Segoe UI"/>
                <w:color w:val="000000" w:themeColor="text1"/>
                <w:szCs w:val="22"/>
              </w:rPr>
              <w:t>.</w:t>
            </w:r>
          </w:p>
        </w:tc>
        <w:tc>
          <w:tcPr>
            <w:tcW w:w="3506" w:type="dxa"/>
            <w:vAlign w:val="center"/>
          </w:tcPr>
          <w:p w:rsidR="002E1D30" w:rsidRPr="009B6A33" w:rsidRDefault="00E864C3" w:rsidP="00AA15F9">
            <w:pPr>
              <w:rPr>
                <w:rFonts w:ascii="Segoe UI" w:hAnsi="Segoe UI" w:cs="Segoe UI"/>
                <w:color w:val="000000" w:themeColor="text1"/>
                <w:szCs w:val="22"/>
              </w:rPr>
            </w:pPr>
            <w:r>
              <w:rPr>
                <w:rFonts w:ascii="Segoe UI" w:hAnsi="Segoe UI" w:cs="Segoe UI"/>
                <w:color w:val="000000" w:themeColor="text1"/>
                <w:szCs w:val="22"/>
              </w:rPr>
              <w:t>Long term network planning and early project planning through to project delivery</w:t>
            </w:r>
          </w:p>
        </w:tc>
      </w:tr>
      <w:tr w:rsidR="00951AF3" w:rsidRPr="009B6A33" w:rsidTr="009B6A33">
        <w:trPr>
          <w:cantSplit/>
          <w:trHeight w:val="360"/>
        </w:trPr>
        <w:tc>
          <w:tcPr>
            <w:tcW w:w="3783" w:type="dxa"/>
            <w:vAlign w:val="center"/>
          </w:tcPr>
          <w:p w:rsidR="002E1D30" w:rsidRPr="009B6A33" w:rsidRDefault="009B6A33" w:rsidP="00AA15F9">
            <w:pPr>
              <w:rPr>
                <w:rFonts w:ascii="Segoe UI" w:hAnsi="Segoe UI" w:cs="Segoe UI"/>
                <w:color w:val="000000" w:themeColor="text1"/>
                <w:szCs w:val="22"/>
              </w:rPr>
            </w:pPr>
            <w:r w:rsidRPr="009B6A33">
              <w:rPr>
                <w:rFonts w:ascii="Segoe UI" w:hAnsi="Segoe UI" w:cs="Segoe UI"/>
                <w:color w:val="000000" w:themeColor="text1"/>
                <w:szCs w:val="22"/>
              </w:rPr>
              <w:t>Community Liaison Group (CLG)</w:t>
            </w:r>
          </w:p>
        </w:tc>
        <w:tc>
          <w:tcPr>
            <w:tcW w:w="7513" w:type="dxa"/>
            <w:vAlign w:val="center"/>
          </w:tcPr>
          <w:p w:rsidR="002E1D30" w:rsidRPr="009B6A33" w:rsidRDefault="009B6A33" w:rsidP="00AA15F9">
            <w:pPr>
              <w:rPr>
                <w:rFonts w:ascii="Segoe UI" w:hAnsi="Segoe UI" w:cs="Segoe UI"/>
                <w:color w:val="000000" w:themeColor="text1"/>
                <w:szCs w:val="22"/>
              </w:rPr>
            </w:pPr>
            <w:r>
              <w:rPr>
                <w:rFonts w:ascii="Segoe UI" w:hAnsi="Segoe UI" w:cs="Segoe UI"/>
                <w:color w:val="000000" w:themeColor="text1"/>
                <w:szCs w:val="22"/>
              </w:rPr>
              <w:t xml:space="preserve">Ensure immediate </w:t>
            </w:r>
            <w:r>
              <w:rPr>
                <w:rFonts w:ascii="Segoe UI" w:hAnsi="Segoe UI" w:cs="Segoe UI"/>
                <w:b/>
                <w:color w:val="000000" w:themeColor="text1"/>
                <w:szCs w:val="22"/>
              </w:rPr>
              <w:t>communities</w:t>
            </w:r>
            <w:r>
              <w:rPr>
                <w:rFonts w:ascii="Segoe UI" w:hAnsi="Segoe UI" w:cs="Segoe UI"/>
                <w:color w:val="000000" w:themeColor="text1"/>
                <w:szCs w:val="22"/>
              </w:rPr>
              <w:t xml:space="preserve"> and interested parties are able to influence the early stages / planning of the project where possible</w:t>
            </w:r>
            <w:r w:rsidR="00E864C3">
              <w:rPr>
                <w:rFonts w:ascii="Segoe UI" w:hAnsi="Segoe UI" w:cs="Segoe UI"/>
                <w:color w:val="000000" w:themeColor="text1"/>
                <w:szCs w:val="22"/>
              </w:rPr>
              <w:t>.</w:t>
            </w:r>
          </w:p>
        </w:tc>
        <w:tc>
          <w:tcPr>
            <w:tcW w:w="3506" w:type="dxa"/>
            <w:vAlign w:val="center"/>
          </w:tcPr>
          <w:p w:rsidR="002E1D30" w:rsidRPr="009B6A33" w:rsidRDefault="00E864C3" w:rsidP="00AA15F9">
            <w:pPr>
              <w:rPr>
                <w:rFonts w:ascii="Segoe UI" w:hAnsi="Segoe UI" w:cs="Segoe UI"/>
                <w:color w:val="000000" w:themeColor="text1"/>
                <w:szCs w:val="22"/>
              </w:rPr>
            </w:pPr>
            <w:r>
              <w:rPr>
                <w:rFonts w:ascii="Segoe UI" w:hAnsi="Segoe UI" w:cs="Segoe UI"/>
                <w:color w:val="000000" w:themeColor="text1"/>
                <w:szCs w:val="22"/>
              </w:rPr>
              <w:t>Early project planning</w:t>
            </w:r>
          </w:p>
        </w:tc>
      </w:tr>
      <w:tr w:rsidR="00951AF3" w:rsidRPr="009B6A33" w:rsidTr="009B6A33">
        <w:trPr>
          <w:cantSplit/>
          <w:trHeight w:val="360"/>
        </w:trPr>
        <w:tc>
          <w:tcPr>
            <w:tcW w:w="3783" w:type="dxa"/>
            <w:vAlign w:val="center"/>
          </w:tcPr>
          <w:p w:rsidR="002E1D30" w:rsidRPr="009B6A33" w:rsidRDefault="009B6A33" w:rsidP="00AA15F9">
            <w:pPr>
              <w:rPr>
                <w:rFonts w:ascii="Segoe UI" w:hAnsi="Segoe UI" w:cs="Segoe UI"/>
                <w:color w:val="000000" w:themeColor="text1"/>
                <w:szCs w:val="22"/>
              </w:rPr>
            </w:pPr>
            <w:r w:rsidRPr="009B6A33">
              <w:rPr>
                <w:rFonts w:ascii="Segoe UI" w:hAnsi="Segoe UI" w:cs="Segoe UI"/>
                <w:color w:val="000000" w:themeColor="text1"/>
                <w:szCs w:val="22"/>
              </w:rPr>
              <w:t>Community &amp; Stakeholder Reference Group (CSRG)</w:t>
            </w:r>
          </w:p>
        </w:tc>
        <w:tc>
          <w:tcPr>
            <w:tcW w:w="7513" w:type="dxa"/>
            <w:vAlign w:val="center"/>
          </w:tcPr>
          <w:p w:rsidR="002E1D30" w:rsidRPr="00E864C3" w:rsidRDefault="00E864C3" w:rsidP="00E864C3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Cs w:val="22"/>
              </w:rPr>
            </w:pPr>
            <w:r>
              <w:rPr>
                <w:rFonts w:ascii="Segoe UI" w:hAnsi="Segoe UI" w:cs="Segoe UI"/>
                <w:color w:val="000000" w:themeColor="text1"/>
                <w:szCs w:val="22"/>
              </w:rPr>
              <w:t xml:space="preserve">Ensure immediate </w:t>
            </w:r>
            <w:r>
              <w:rPr>
                <w:rFonts w:ascii="Segoe UI" w:hAnsi="Segoe UI" w:cs="Segoe UI"/>
                <w:b/>
                <w:color w:val="000000" w:themeColor="text1"/>
                <w:szCs w:val="22"/>
              </w:rPr>
              <w:t xml:space="preserve">communities, stakeholders </w:t>
            </w:r>
            <w:r>
              <w:rPr>
                <w:rFonts w:ascii="Segoe UI" w:hAnsi="Segoe UI" w:cs="Segoe UI"/>
                <w:color w:val="000000" w:themeColor="text1"/>
                <w:szCs w:val="22"/>
              </w:rPr>
              <w:t>and / or interested parties are able to influence the early stages / planning of the project where possible.</w:t>
            </w:r>
          </w:p>
        </w:tc>
        <w:tc>
          <w:tcPr>
            <w:tcW w:w="3506" w:type="dxa"/>
            <w:vAlign w:val="center"/>
          </w:tcPr>
          <w:p w:rsidR="002E1D30" w:rsidRPr="009B6A33" w:rsidRDefault="00E864C3" w:rsidP="00AA15F9">
            <w:pPr>
              <w:rPr>
                <w:rFonts w:ascii="Segoe UI" w:hAnsi="Segoe UI" w:cs="Segoe UI"/>
                <w:color w:val="000000" w:themeColor="text1"/>
                <w:szCs w:val="22"/>
              </w:rPr>
            </w:pPr>
            <w:r>
              <w:rPr>
                <w:rFonts w:ascii="Segoe UI" w:hAnsi="Segoe UI" w:cs="Segoe UI"/>
                <w:color w:val="000000" w:themeColor="text1"/>
                <w:szCs w:val="22"/>
              </w:rPr>
              <w:t>Early project planning</w:t>
            </w:r>
          </w:p>
        </w:tc>
      </w:tr>
      <w:tr w:rsidR="00951AF3" w:rsidRPr="009B6A33" w:rsidTr="009B6A33">
        <w:trPr>
          <w:cantSplit/>
          <w:trHeight w:val="360"/>
        </w:trPr>
        <w:tc>
          <w:tcPr>
            <w:tcW w:w="3783" w:type="dxa"/>
            <w:vAlign w:val="center"/>
          </w:tcPr>
          <w:p w:rsidR="002E1D30" w:rsidRPr="009B6A33" w:rsidRDefault="009B6A33" w:rsidP="00AA15F9">
            <w:pPr>
              <w:rPr>
                <w:rFonts w:ascii="Segoe UI" w:hAnsi="Segoe UI" w:cs="Segoe UI"/>
                <w:color w:val="000000" w:themeColor="text1"/>
                <w:szCs w:val="22"/>
              </w:rPr>
            </w:pPr>
            <w:r w:rsidRPr="009B6A33">
              <w:rPr>
                <w:rFonts w:ascii="Segoe UI" w:hAnsi="Segoe UI" w:cs="Segoe UI"/>
                <w:color w:val="000000" w:themeColor="text1"/>
                <w:szCs w:val="22"/>
              </w:rPr>
              <w:t>Construction Reference Group (CRG)</w:t>
            </w:r>
          </w:p>
        </w:tc>
        <w:tc>
          <w:tcPr>
            <w:tcW w:w="7513" w:type="dxa"/>
            <w:vAlign w:val="center"/>
          </w:tcPr>
          <w:p w:rsidR="002E1D30" w:rsidRPr="00E864C3" w:rsidRDefault="00E864C3" w:rsidP="00AA15F9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Cs w:val="22"/>
              </w:rPr>
            </w:pPr>
            <w:r>
              <w:rPr>
                <w:rFonts w:ascii="Segoe UI" w:hAnsi="Segoe UI" w:cs="Segoe UI"/>
                <w:color w:val="000000" w:themeColor="text1"/>
                <w:szCs w:val="22"/>
              </w:rPr>
              <w:t xml:space="preserve">Ensure immediate </w:t>
            </w:r>
            <w:r>
              <w:rPr>
                <w:rFonts w:ascii="Segoe UI" w:hAnsi="Segoe UI" w:cs="Segoe UI"/>
                <w:b/>
                <w:color w:val="000000" w:themeColor="text1"/>
                <w:szCs w:val="22"/>
              </w:rPr>
              <w:t xml:space="preserve">communities </w:t>
            </w:r>
            <w:r>
              <w:rPr>
                <w:rFonts w:ascii="Segoe UI" w:hAnsi="Segoe UI" w:cs="Segoe UI"/>
                <w:color w:val="000000" w:themeColor="text1"/>
                <w:szCs w:val="22"/>
              </w:rPr>
              <w:t>and interested parties are able to influence the delivery of the project where possible.</w:t>
            </w:r>
          </w:p>
        </w:tc>
        <w:tc>
          <w:tcPr>
            <w:tcW w:w="3506" w:type="dxa"/>
            <w:vAlign w:val="center"/>
          </w:tcPr>
          <w:p w:rsidR="002E1D30" w:rsidRPr="009B6A33" w:rsidRDefault="00E864C3" w:rsidP="00AA15F9">
            <w:pPr>
              <w:rPr>
                <w:rFonts w:ascii="Segoe UI" w:hAnsi="Segoe UI" w:cs="Segoe UI"/>
                <w:color w:val="000000" w:themeColor="text1"/>
                <w:szCs w:val="22"/>
              </w:rPr>
            </w:pPr>
            <w:r>
              <w:rPr>
                <w:rFonts w:ascii="Segoe UI" w:hAnsi="Segoe UI" w:cs="Segoe UI"/>
                <w:color w:val="000000" w:themeColor="text1"/>
                <w:szCs w:val="22"/>
              </w:rPr>
              <w:t>Project delivery</w:t>
            </w:r>
          </w:p>
        </w:tc>
        <w:bookmarkStart w:id="0" w:name="_GoBack"/>
        <w:bookmarkEnd w:id="0"/>
      </w:tr>
      <w:tr w:rsidR="00951AF3" w:rsidRPr="009B6A33" w:rsidTr="009B6A33">
        <w:trPr>
          <w:cantSplit/>
          <w:trHeight w:val="360"/>
        </w:trPr>
        <w:tc>
          <w:tcPr>
            <w:tcW w:w="3783" w:type="dxa"/>
            <w:vAlign w:val="center"/>
          </w:tcPr>
          <w:p w:rsidR="008C1325" w:rsidRPr="009B6A33" w:rsidRDefault="009B6A33" w:rsidP="00AA15F9">
            <w:pPr>
              <w:rPr>
                <w:rFonts w:ascii="Segoe UI" w:hAnsi="Segoe UI" w:cs="Segoe UI"/>
                <w:color w:val="000000" w:themeColor="text1"/>
                <w:szCs w:val="22"/>
              </w:rPr>
            </w:pPr>
            <w:r w:rsidRPr="009B6A33">
              <w:rPr>
                <w:rFonts w:ascii="Segoe UI" w:hAnsi="Segoe UI" w:cs="Segoe UI"/>
                <w:color w:val="000000" w:themeColor="text1"/>
                <w:szCs w:val="22"/>
              </w:rPr>
              <w:t>Issues Specific Reference Group (ISRG)</w:t>
            </w:r>
          </w:p>
        </w:tc>
        <w:tc>
          <w:tcPr>
            <w:tcW w:w="7513" w:type="dxa"/>
            <w:vAlign w:val="center"/>
          </w:tcPr>
          <w:p w:rsidR="008C1325" w:rsidRPr="00E864C3" w:rsidRDefault="00E864C3" w:rsidP="00AA15F9">
            <w:pPr>
              <w:tabs>
                <w:tab w:val="left" w:pos="1755"/>
              </w:tabs>
              <w:rPr>
                <w:rFonts w:ascii="Segoe UI" w:hAnsi="Segoe UI" w:cs="Segoe UI"/>
                <w:b/>
                <w:color w:val="000000" w:themeColor="text1"/>
                <w:szCs w:val="22"/>
              </w:rPr>
            </w:pPr>
            <w:r>
              <w:rPr>
                <w:rFonts w:ascii="Segoe UI" w:hAnsi="Segoe UI" w:cs="Segoe UI"/>
                <w:color w:val="000000" w:themeColor="text1"/>
                <w:szCs w:val="22"/>
              </w:rPr>
              <w:t xml:space="preserve">Ensure immediate </w:t>
            </w:r>
            <w:r>
              <w:rPr>
                <w:rFonts w:ascii="Segoe UI" w:hAnsi="Segoe UI" w:cs="Segoe UI"/>
                <w:b/>
                <w:color w:val="000000" w:themeColor="text1"/>
                <w:szCs w:val="22"/>
              </w:rPr>
              <w:t xml:space="preserve">communities </w:t>
            </w:r>
            <w:r>
              <w:rPr>
                <w:rFonts w:ascii="Segoe UI" w:hAnsi="Segoe UI" w:cs="Segoe UI"/>
                <w:color w:val="000000" w:themeColor="text1"/>
                <w:szCs w:val="22"/>
              </w:rPr>
              <w:t xml:space="preserve">and interested parties are able to the influence the delivery of a project where possible, with regard to </w:t>
            </w:r>
            <w:r>
              <w:rPr>
                <w:rFonts w:ascii="Segoe UI" w:hAnsi="Segoe UI" w:cs="Segoe UI"/>
                <w:b/>
                <w:color w:val="000000" w:themeColor="text1"/>
                <w:szCs w:val="22"/>
              </w:rPr>
              <w:t>specific and time-sensitive project issues.</w:t>
            </w:r>
          </w:p>
        </w:tc>
        <w:tc>
          <w:tcPr>
            <w:tcW w:w="3506" w:type="dxa"/>
            <w:vAlign w:val="center"/>
          </w:tcPr>
          <w:p w:rsidR="008C1325" w:rsidRPr="009B6A33" w:rsidRDefault="00E864C3" w:rsidP="00AA15F9">
            <w:pPr>
              <w:rPr>
                <w:rFonts w:ascii="Segoe UI" w:hAnsi="Segoe UI" w:cs="Segoe UI"/>
                <w:color w:val="000000" w:themeColor="text1"/>
                <w:szCs w:val="22"/>
              </w:rPr>
            </w:pPr>
            <w:r>
              <w:rPr>
                <w:rFonts w:ascii="Segoe UI" w:hAnsi="Segoe UI" w:cs="Segoe UI"/>
                <w:color w:val="000000" w:themeColor="text1"/>
                <w:szCs w:val="22"/>
              </w:rPr>
              <w:t>Project delivery</w:t>
            </w:r>
          </w:p>
        </w:tc>
      </w:tr>
      <w:tr w:rsidR="00951AF3" w:rsidRPr="009B6A33" w:rsidTr="009B6A33">
        <w:trPr>
          <w:cantSplit/>
          <w:trHeight w:val="360"/>
        </w:trPr>
        <w:tc>
          <w:tcPr>
            <w:tcW w:w="3783" w:type="dxa"/>
            <w:vAlign w:val="center"/>
          </w:tcPr>
          <w:p w:rsidR="008C1325" w:rsidRPr="009B6A33" w:rsidRDefault="009B6A33" w:rsidP="00AA15F9">
            <w:pPr>
              <w:rPr>
                <w:rFonts w:ascii="Segoe UI" w:hAnsi="Segoe UI" w:cs="Segoe UI"/>
                <w:color w:val="000000" w:themeColor="text1"/>
                <w:szCs w:val="22"/>
              </w:rPr>
            </w:pPr>
            <w:r w:rsidRPr="009B6A33">
              <w:rPr>
                <w:rFonts w:ascii="Segoe UI" w:hAnsi="Segoe UI" w:cs="Segoe UI"/>
                <w:color w:val="000000" w:themeColor="text1"/>
                <w:szCs w:val="22"/>
              </w:rPr>
              <w:t>Bespoke Reference Group (BRG)</w:t>
            </w:r>
          </w:p>
        </w:tc>
        <w:tc>
          <w:tcPr>
            <w:tcW w:w="7513" w:type="dxa"/>
            <w:vAlign w:val="center"/>
          </w:tcPr>
          <w:p w:rsidR="008C1325" w:rsidRPr="00E864C3" w:rsidRDefault="00E864C3" w:rsidP="00AA15F9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Cs w:val="22"/>
              </w:rPr>
            </w:pPr>
            <w:r>
              <w:rPr>
                <w:rFonts w:ascii="Segoe UI" w:hAnsi="Segoe UI" w:cs="Segoe UI"/>
                <w:color w:val="000000" w:themeColor="text1"/>
                <w:szCs w:val="22"/>
              </w:rPr>
              <w:t>Core purpose same as Community &amp; Stakeholder Reference Group (as above) however membership criteria will differ.</w:t>
            </w:r>
          </w:p>
        </w:tc>
        <w:tc>
          <w:tcPr>
            <w:tcW w:w="3506" w:type="dxa"/>
            <w:vAlign w:val="center"/>
          </w:tcPr>
          <w:p w:rsidR="008C1325" w:rsidRPr="009B6A33" w:rsidRDefault="00E864C3" w:rsidP="00AA15F9">
            <w:pPr>
              <w:rPr>
                <w:rFonts w:ascii="Segoe UI" w:hAnsi="Segoe UI" w:cs="Segoe UI"/>
                <w:color w:val="000000" w:themeColor="text1"/>
                <w:szCs w:val="22"/>
              </w:rPr>
            </w:pPr>
            <w:r>
              <w:rPr>
                <w:rFonts w:ascii="Segoe UI" w:hAnsi="Segoe UI" w:cs="Segoe UI"/>
                <w:color w:val="000000" w:themeColor="text1"/>
                <w:szCs w:val="22"/>
              </w:rPr>
              <w:t>Long term network planning and early project planning through the project delivery</w:t>
            </w:r>
          </w:p>
        </w:tc>
      </w:tr>
    </w:tbl>
    <w:p w:rsidR="002F51AC" w:rsidRPr="00475F89" w:rsidRDefault="009B6A33" w:rsidP="00F46CAB">
      <w:pPr>
        <w:pStyle w:val="BodyText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noProof/>
          <w:color w:val="000000" w:themeColor="text1"/>
          <w:lang w:eastAsia="en-A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112396</wp:posOffset>
                </wp:positionV>
                <wp:extent cx="9448800" cy="742950"/>
                <wp:effectExtent l="57150" t="19050" r="57150" b="762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0" cy="742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4C3" w:rsidRDefault="00E864C3" w:rsidP="00E864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.7pt;margin-top:8.85pt;width:744pt;height:58.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" fillcolor="#003053 [1604]" stroked="f">
                <v:shadow on="t" color="black" opacity="22937f" origin=",.5" offset="0,.63889mm"/>
                <v:textbox>
                  <w:txbxContent>
                    <w:p w:rsidR="00E864C3" w:rsidRDefault="00E864C3" w:rsidP="00E864C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85BBA" w:rsidRPr="00E864C3" w:rsidRDefault="009B6A33" w:rsidP="002E1D30">
      <w:pPr>
        <w:rPr>
          <w:rFonts w:ascii="Segoe UI" w:hAnsi="Segoe UI" w:cs="Segoe UI"/>
          <w:i/>
          <w:color w:val="FFFFFF" w:themeColor="background1"/>
          <w:sz w:val="20"/>
          <w:szCs w:val="20"/>
        </w:rPr>
      </w:pPr>
      <w:r w:rsidRPr="00E864C3">
        <w:rPr>
          <w:rFonts w:ascii="Segoe UI" w:hAnsi="Segoe UI" w:cs="Segoe UI"/>
          <w:i/>
          <w:color w:val="FFFFFF" w:themeColor="background1"/>
          <w:sz w:val="20"/>
          <w:szCs w:val="20"/>
        </w:rPr>
        <w:t xml:space="preserve">Reference Group membership </w:t>
      </w:r>
      <w:proofErr w:type="gramStart"/>
      <w:r w:rsidRPr="00E864C3">
        <w:rPr>
          <w:rFonts w:ascii="Segoe UI" w:hAnsi="Segoe UI" w:cs="Segoe UI"/>
          <w:i/>
          <w:color w:val="FFFFFF" w:themeColor="background1"/>
          <w:sz w:val="20"/>
          <w:szCs w:val="20"/>
        </w:rPr>
        <w:t>will be determined</w:t>
      </w:r>
      <w:proofErr w:type="gramEnd"/>
      <w:r w:rsidRPr="00E864C3">
        <w:rPr>
          <w:rFonts w:ascii="Segoe UI" w:hAnsi="Segoe UI" w:cs="Segoe UI"/>
          <w:i/>
          <w:color w:val="FFFFFF" w:themeColor="background1"/>
          <w:sz w:val="20"/>
          <w:szCs w:val="20"/>
        </w:rPr>
        <w:t xml:space="preserve"> by criteria deve</w:t>
      </w:r>
      <w:r w:rsidR="000C4925">
        <w:rPr>
          <w:rFonts w:ascii="Segoe UI" w:hAnsi="Segoe UI" w:cs="Segoe UI"/>
          <w:i/>
          <w:color w:val="FFFFFF" w:themeColor="background1"/>
          <w:sz w:val="20"/>
          <w:szCs w:val="20"/>
        </w:rPr>
        <w:t>loped by the Project team. These criteria</w:t>
      </w:r>
      <w:r w:rsidRPr="00E864C3">
        <w:rPr>
          <w:rFonts w:ascii="Segoe UI" w:hAnsi="Segoe UI" w:cs="Segoe UI"/>
          <w:i/>
          <w:color w:val="FFFFFF" w:themeColor="background1"/>
          <w:sz w:val="20"/>
          <w:szCs w:val="20"/>
        </w:rPr>
        <w:t xml:space="preserve"> will involve agreeing to a Code of Conduct.</w:t>
      </w:r>
    </w:p>
    <w:p w:rsidR="009B6A33" w:rsidRPr="00E864C3" w:rsidRDefault="009B6A33" w:rsidP="002E1D30">
      <w:pPr>
        <w:rPr>
          <w:rFonts w:ascii="Segoe UI" w:hAnsi="Segoe UI" w:cs="Segoe UI"/>
          <w:i/>
          <w:color w:val="FFFFFF" w:themeColor="background1"/>
          <w:sz w:val="20"/>
          <w:szCs w:val="20"/>
        </w:rPr>
      </w:pPr>
    </w:p>
    <w:p w:rsidR="009B6A33" w:rsidRPr="00E864C3" w:rsidRDefault="009B6A33" w:rsidP="002E1D30">
      <w:pPr>
        <w:rPr>
          <w:rFonts w:ascii="Segoe UI" w:hAnsi="Segoe UI" w:cs="Segoe UI"/>
          <w:color w:val="000000" w:themeColor="text1"/>
          <w:sz w:val="20"/>
          <w:szCs w:val="20"/>
        </w:rPr>
      </w:pPr>
      <w:r w:rsidRPr="00E864C3">
        <w:rPr>
          <w:rFonts w:ascii="Segoe UI" w:hAnsi="Segoe UI" w:cs="Segoe UI"/>
          <w:i/>
          <w:color w:val="FFFFFF" w:themeColor="background1"/>
          <w:sz w:val="20"/>
          <w:szCs w:val="20"/>
        </w:rPr>
        <w:t xml:space="preserve">Detailed information about the Purpose, Membership, Responsibilities and Administration of Reference Groups </w:t>
      </w:r>
      <w:proofErr w:type="gramStart"/>
      <w:r w:rsidRPr="00E864C3">
        <w:rPr>
          <w:rFonts w:ascii="Segoe UI" w:hAnsi="Segoe UI" w:cs="Segoe UI"/>
          <w:i/>
          <w:color w:val="FFFFFF" w:themeColor="background1"/>
          <w:sz w:val="20"/>
          <w:szCs w:val="20"/>
        </w:rPr>
        <w:t>will be outlined</w:t>
      </w:r>
      <w:proofErr w:type="gramEnd"/>
      <w:r w:rsidRPr="00E864C3">
        <w:rPr>
          <w:rFonts w:ascii="Segoe UI" w:hAnsi="Segoe UI" w:cs="Segoe UI"/>
          <w:i/>
          <w:color w:val="FFFFFF" w:themeColor="background1"/>
          <w:sz w:val="20"/>
          <w:szCs w:val="20"/>
        </w:rPr>
        <w:t xml:space="preserve"> in a Terms of Reference</w:t>
      </w:r>
      <w:r w:rsidRPr="00E864C3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sectPr w:rsidR="009B6A33" w:rsidRPr="00E864C3" w:rsidSect="009B6A33">
      <w:headerReference w:type="default" r:id="rId9"/>
      <w:footerReference w:type="default" r:id="rId10"/>
      <w:footerReference w:type="first" r:id="rId11"/>
      <w:pgSz w:w="16840" w:h="11900" w:orient="landscape" w:code="9"/>
      <w:pgMar w:top="1134" w:right="1134" w:bottom="1134" w:left="1134" w:header="425" w:footer="42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A33" w:rsidRDefault="009B6A33" w:rsidP="00D41211">
      <w:r>
        <w:separator/>
      </w:r>
    </w:p>
  </w:endnote>
  <w:endnote w:type="continuationSeparator" w:id="0">
    <w:p w:rsidR="009B6A33" w:rsidRDefault="009B6A33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AD0" w:rsidRPr="003468AB" w:rsidRDefault="003468AB" w:rsidP="003F7D56">
    <w:pPr>
      <w:pBdr>
        <w:top w:val="single" w:sz="8" w:space="1" w:color="9B9B9D"/>
      </w:pBdr>
      <w:tabs>
        <w:tab w:val="right" w:pos="9632"/>
        <w:tab w:val="right" w:pos="15026"/>
      </w:tabs>
      <w:suppressAutoHyphens/>
      <w:autoSpaceDE w:val="0"/>
      <w:autoSpaceDN w:val="0"/>
      <w:adjustRightInd w:val="0"/>
      <w:spacing w:after="170" w:line="260" w:lineRule="atLeast"/>
      <w:textAlignment w:val="center"/>
      <w:rPr>
        <w:rStyle w:val="PageNumber"/>
        <w:color w:val="58595B"/>
      </w:rPr>
    </w:pPr>
    <w:r w:rsidRPr="003468AB">
      <w:rPr>
        <w:rFonts w:cs="Helvetica"/>
        <w:color w:val="58595B"/>
        <w:sz w:val="16"/>
        <w:szCs w:val="16"/>
        <w:lang w:val="en-GB"/>
      </w:rPr>
      <w:t xml:space="preserve">Document No: </w:t>
    </w:r>
    <w:r w:rsidRPr="003468AB">
      <w:rPr>
        <w:rFonts w:cs="Helvetica"/>
        <w:color w:val="58595B"/>
        <w:sz w:val="16"/>
        <w:szCs w:val="16"/>
        <w:lang w:val="en-GB"/>
      </w:rPr>
      <w:tab/>
    </w:r>
    <w:r w:rsidR="00EA3AD0" w:rsidRPr="003468AB">
      <w:rPr>
        <w:color w:val="58595B"/>
        <w:sz w:val="14"/>
      </w:rPr>
      <w:t xml:space="preserve">Page </w:t>
    </w:r>
    <w:r w:rsidR="00612F7B" w:rsidRPr="003468AB">
      <w:rPr>
        <w:rStyle w:val="PageNumber"/>
        <w:color w:val="58595B"/>
      </w:rPr>
      <w:fldChar w:fldCharType="begin"/>
    </w:r>
    <w:r w:rsidR="00EA3AD0" w:rsidRPr="003468AB">
      <w:rPr>
        <w:rStyle w:val="PageNumber"/>
        <w:color w:val="58595B"/>
      </w:rPr>
      <w:instrText xml:space="preserve"> PAGE </w:instrText>
    </w:r>
    <w:r w:rsidR="00612F7B" w:rsidRPr="003468AB">
      <w:rPr>
        <w:rStyle w:val="PageNumber"/>
        <w:color w:val="58595B"/>
      </w:rPr>
      <w:fldChar w:fldCharType="separate"/>
    </w:r>
    <w:r w:rsidR="00E864C3">
      <w:rPr>
        <w:rStyle w:val="PageNumber"/>
        <w:noProof/>
        <w:color w:val="58595B"/>
      </w:rPr>
      <w:t>2</w:t>
    </w:r>
    <w:r w:rsidR="00612F7B" w:rsidRPr="003468AB">
      <w:rPr>
        <w:rStyle w:val="PageNumber"/>
        <w:color w:val="58595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F96" w:rsidRPr="00A92F96" w:rsidRDefault="00A92F96" w:rsidP="00A92F96">
    <w:pPr>
      <w:pBdr>
        <w:top w:val="single" w:sz="8" w:space="1" w:color="9B9B9D"/>
      </w:pBdr>
      <w:tabs>
        <w:tab w:val="right" w:pos="9632"/>
        <w:tab w:val="right" w:pos="15026"/>
      </w:tabs>
      <w:suppressAutoHyphens/>
      <w:autoSpaceDE w:val="0"/>
      <w:autoSpaceDN w:val="0"/>
      <w:adjustRightInd w:val="0"/>
      <w:spacing w:after="170" w:line="260" w:lineRule="atLeast"/>
      <w:textAlignment w:val="center"/>
      <w:rPr>
        <w:rFonts w:ascii="Arial" w:hAnsi="Arial"/>
        <w:color w:val="58595B"/>
        <w:sz w:val="14"/>
      </w:rPr>
    </w:pPr>
    <w:r w:rsidRPr="003468AB">
      <w:rPr>
        <w:rFonts w:cs="Helvetica"/>
        <w:color w:val="58595B"/>
        <w:sz w:val="16"/>
        <w:szCs w:val="16"/>
        <w:lang w:val="en-GB"/>
      </w:rPr>
      <w:tab/>
    </w:r>
    <w:r w:rsidRPr="003468AB">
      <w:rPr>
        <w:color w:val="58595B"/>
        <w:sz w:val="14"/>
      </w:rPr>
      <w:t xml:space="preserve">Page </w:t>
    </w:r>
    <w:r w:rsidRPr="003468AB">
      <w:rPr>
        <w:rStyle w:val="PageNumber"/>
        <w:color w:val="58595B"/>
      </w:rPr>
      <w:fldChar w:fldCharType="begin"/>
    </w:r>
    <w:r w:rsidRPr="003468AB">
      <w:rPr>
        <w:rStyle w:val="PageNumber"/>
        <w:color w:val="58595B"/>
      </w:rPr>
      <w:instrText xml:space="preserve"> PAGE </w:instrText>
    </w:r>
    <w:r w:rsidRPr="003468AB">
      <w:rPr>
        <w:rStyle w:val="PageNumber"/>
        <w:color w:val="58595B"/>
      </w:rPr>
      <w:fldChar w:fldCharType="separate"/>
    </w:r>
    <w:r w:rsidR="00AB53F7">
      <w:rPr>
        <w:rStyle w:val="PageNumber"/>
        <w:noProof/>
        <w:color w:val="58595B"/>
      </w:rPr>
      <w:t>1</w:t>
    </w:r>
    <w:r w:rsidRPr="003468AB">
      <w:rPr>
        <w:rStyle w:val="PageNumber"/>
        <w:color w:val="58595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A33" w:rsidRDefault="009B6A33" w:rsidP="00D41211">
      <w:r>
        <w:separator/>
      </w:r>
    </w:p>
  </w:footnote>
  <w:footnote w:type="continuationSeparator" w:id="0">
    <w:p w:rsidR="009B6A33" w:rsidRDefault="009B6A33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single" w:sz="36" w:space="0" w:color="9B9B9D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72"/>
    </w:tblGrid>
    <w:tr w:rsidR="003468AB" w:rsidRPr="003468AB" w:rsidTr="002E1D30">
      <w:trPr>
        <w:jc w:val="center"/>
      </w:trPr>
      <w:tc>
        <w:tcPr>
          <w:tcW w:w="10414" w:type="dxa"/>
        </w:tcPr>
        <w:p w:rsidR="003468AB" w:rsidRPr="003468AB" w:rsidRDefault="00E37E7F" w:rsidP="00D85BBA">
          <w:pPr>
            <w:pStyle w:val="Header"/>
            <w:suppressAutoHyphens/>
            <w:autoSpaceDE w:val="0"/>
            <w:autoSpaceDN w:val="0"/>
            <w:adjustRightInd w:val="0"/>
            <w:spacing w:after="170" w:line="260" w:lineRule="atLeast"/>
            <w:textAlignment w:val="center"/>
            <w:rPr>
              <w:rStyle w:val="Bold"/>
              <w:rFonts w:asciiTheme="majorHAnsi" w:hAnsiTheme="majorHAnsi" w:cs="Helvetica-Light"/>
              <w:color w:val="58595B" w:themeColor="accent6"/>
              <w:spacing w:val="0"/>
              <w:sz w:val="18"/>
              <w:szCs w:val="18"/>
              <w:lang w:val="en-GB"/>
            </w:rPr>
          </w:pPr>
          <w:r>
            <w:rPr>
              <w:rStyle w:val="Bold"/>
              <w:rFonts w:asciiTheme="majorHAnsi" w:hAnsiTheme="majorHAnsi" w:cs="Helvetica-Light"/>
              <w:b w:val="0"/>
              <w:bCs w:val="0"/>
              <w:color w:val="58595B" w:themeColor="accent6"/>
              <w:spacing w:val="0"/>
              <w:sz w:val="18"/>
              <w:szCs w:val="18"/>
              <w:lang w:val="en-GB"/>
            </w:rPr>
            <w:t>WORKSHOP TITLE</w:t>
          </w:r>
          <w:r w:rsidR="003468AB">
            <w:rPr>
              <w:rStyle w:val="Bold"/>
              <w:rFonts w:asciiTheme="majorHAnsi" w:hAnsiTheme="majorHAnsi" w:cs="Helvetica-Light"/>
              <w:b w:val="0"/>
              <w:bCs w:val="0"/>
              <w:color w:val="58595B" w:themeColor="accent6"/>
              <w:spacing w:val="0"/>
              <w:sz w:val="18"/>
              <w:szCs w:val="18"/>
              <w:lang w:val="en-GB"/>
            </w:rPr>
            <w:t xml:space="preserve"> </w:t>
          </w:r>
          <w:r w:rsidR="00D85BBA">
            <w:rPr>
              <w:rStyle w:val="Bold"/>
              <w:rFonts w:asciiTheme="majorHAnsi" w:hAnsiTheme="majorHAnsi" w:cs="Helvetica-Light"/>
              <w:b w:val="0"/>
              <w:bCs w:val="0"/>
              <w:color w:val="58595B" w:themeColor="accent6"/>
              <w:spacing w:val="0"/>
              <w:sz w:val="18"/>
              <w:szCs w:val="18"/>
              <w:lang w:val="en-GB"/>
            </w:rPr>
            <w:t>-</w:t>
          </w:r>
          <w:r w:rsidR="003468AB">
            <w:rPr>
              <w:rStyle w:val="Bold"/>
              <w:rFonts w:asciiTheme="majorHAnsi" w:hAnsiTheme="majorHAnsi" w:cs="Helvetica-Light"/>
              <w:b w:val="0"/>
              <w:bCs w:val="0"/>
              <w:color w:val="58595B" w:themeColor="accent6"/>
              <w:spacing w:val="0"/>
              <w:sz w:val="18"/>
              <w:szCs w:val="18"/>
              <w:lang w:val="en-GB"/>
            </w:rPr>
            <w:t xml:space="preserve"> </w:t>
          </w:r>
          <w:r>
            <w:rPr>
              <w:rStyle w:val="Bold"/>
              <w:rFonts w:asciiTheme="majorHAnsi" w:hAnsiTheme="majorHAnsi" w:cs="Helvetica-Light"/>
              <w:b w:val="0"/>
              <w:bCs w:val="0"/>
              <w:color w:val="58595B" w:themeColor="accent6"/>
              <w:spacing w:val="0"/>
              <w:sz w:val="18"/>
              <w:szCs w:val="18"/>
              <w:lang w:val="en-GB"/>
            </w:rPr>
            <w:t>DATE</w:t>
          </w:r>
        </w:p>
      </w:tc>
    </w:tr>
  </w:tbl>
  <w:p w:rsidR="00CC58EF" w:rsidRPr="003468AB" w:rsidRDefault="00CC58EF" w:rsidP="00346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432"/>
    <w:multiLevelType w:val="hybridMultilevel"/>
    <w:tmpl w:val="64E6310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C3FED"/>
    <w:multiLevelType w:val="hybridMultilevel"/>
    <w:tmpl w:val="A2F2A958"/>
    <w:lvl w:ilvl="0" w:tplc="346CA3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54E68"/>
    <w:multiLevelType w:val="hybridMultilevel"/>
    <w:tmpl w:val="19F05E42"/>
    <w:lvl w:ilvl="0" w:tplc="A07659B0">
      <w:numFmt w:val="bullet"/>
      <w:lvlText w:val="•"/>
      <w:lvlJc w:val="left"/>
      <w:pPr>
        <w:ind w:left="1080" w:hanging="720"/>
      </w:pPr>
      <w:rPr>
        <w:rFonts w:ascii="Helvetica" w:eastAsia="Arial" w:hAnsi="Helvetic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83D19"/>
    <w:multiLevelType w:val="hybridMultilevel"/>
    <w:tmpl w:val="9CBEB050"/>
    <w:lvl w:ilvl="0" w:tplc="A33CE5EE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C529D"/>
    <w:multiLevelType w:val="hybridMultilevel"/>
    <w:tmpl w:val="35A43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46474"/>
    <w:multiLevelType w:val="hybridMultilevel"/>
    <w:tmpl w:val="079EB00A"/>
    <w:lvl w:ilvl="0" w:tplc="EAD0AB52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15BBD"/>
    <w:multiLevelType w:val="hybridMultilevel"/>
    <w:tmpl w:val="C4EC44DE"/>
    <w:lvl w:ilvl="0" w:tplc="5CE2DFC8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13"/>
  </w:num>
  <w:num w:numId="6">
    <w:abstractNumId w:val="2"/>
  </w:num>
  <w:num w:numId="7">
    <w:abstractNumId w:val="14"/>
  </w:num>
  <w:num w:numId="8">
    <w:abstractNumId w:val="9"/>
  </w:num>
  <w:num w:numId="9">
    <w:abstractNumId w:val="3"/>
  </w:num>
  <w:num w:numId="10">
    <w:abstractNumId w:val="7"/>
  </w:num>
  <w:num w:numId="11">
    <w:abstractNumId w:val="15"/>
  </w:num>
  <w:num w:numId="12">
    <w:abstractNumId w:val="4"/>
  </w:num>
  <w:num w:numId="13">
    <w:abstractNumId w:val="12"/>
  </w:num>
  <w:num w:numId="14">
    <w:abstractNumId w:val="1"/>
  </w:num>
  <w:num w:numId="15">
    <w:abstractNumId w:val="11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33"/>
    <w:rsid w:val="000C4925"/>
    <w:rsid w:val="000C7D77"/>
    <w:rsid w:val="0010445F"/>
    <w:rsid w:val="00127199"/>
    <w:rsid w:val="0015261A"/>
    <w:rsid w:val="00161E68"/>
    <w:rsid w:val="00167608"/>
    <w:rsid w:val="001B3218"/>
    <w:rsid w:val="001B4C4E"/>
    <w:rsid w:val="001D0B83"/>
    <w:rsid w:val="0020481B"/>
    <w:rsid w:val="00281DEB"/>
    <w:rsid w:val="002A3450"/>
    <w:rsid w:val="002A6D26"/>
    <w:rsid w:val="002E1D30"/>
    <w:rsid w:val="002F51AC"/>
    <w:rsid w:val="003468AB"/>
    <w:rsid w:val="00353B45"/>
    <w:rsid w:val="00367FD9"/>
    <w:rsid w:val="003775E4"/>
    <w:rsid w:val="003F7D56"/>
    <w:rsid w:val="0041092E"/>
    <w:rsid w:val="0042071A"/>
    <w:rsid w:val="00475F89"/>
    <w:rsid w:val="004A241D"/>
    <w:rsid w:val="004C2016"/>
    <w:rsid w:val="0052426C"/>
    <w:rsid w:val="0057239D"/>
    <w:rsid w:val="005A7876"/>
    <w:rsid w:val="005D65D3"/>
    <w:rsid w:val="005F364D"/>
    <w:rsid w:val="005F46C1"/>
    <w:rsid w:val="00612F7B"/>
    <w:rsid w:val="00653107"/>
    <w:rsid w:val="00661617"/>
    <w:rsid w:val="006709A3"/>
    <w:rsid w:val="00675E8A"/>
    <w:rsid w:val="006B2471"/>
    <w:rsid w:val="007256C7"/>
    <w:rsid w:val="00814469"/>
    <w:rsid w:val="00814D66"/>
    <w:rsid w:val="00852E36"/>
    <w:rsid w:val="008C1325"/>
    <w:rsid w:val="008D2060"/>
    <w:rsid w:val="008E04FB"/>
    <w:rsid w:val="008E4A63"/>
    <w:rsid w:val="00930B0F"/>
    <w:rsid w:val="0094672B"/>
    <w:rsid w:val="00951AF3"/>
    <w:rsid w:val="009548F2"/>
    <w:rsid w:val="00972B4B"/>
    <w:rsid w:val="009978E0"/>
    <w:rsid w:val="009B6A33"/>
    <w:rsid w:val="00A145A6"/>
    <w:rsid w:val="00A15881"/>
    <w:rsid w:val="00A47B37"/>
    <w:rsid w:val="00A920E2"/>
    <w:rsid w:val="00A92F96"/>
    <w:rsid w:val="00AA15FB"/>
    <w:rsid w:val="00AB53F7"/>
    <w:rsid w:val="00AF6818"/>
    <w:rsid w:val="00B07E38"/>
    <w:rsid w:val="00B55329"/>
    <w:rsid w:val="00B77F25"/>
    <w:rsid w:val="00BD0C35"/>
    <w:rsid w:val="00BF189A"/>
    <w:rsid w:val="00C315FB"/>
    <w:rsid w:val="00C61E5B"/>
    <w:rsid w:val="00CC58EF"/>
    <w:rsid w:val="00D03108"/>
    <w:rsid w:val="00D34026"/>
    <w:rsid w:val="00D41211"/>
    <w:rsid w:val="00D77846"/>
    <w:rsid w:val="00D85BBA"/>
    <w:rsid w:val="00E24159"/>
    <w:rsid w:val="00E37E7F"/>
    <w:rsid w:val="00E531E0"/>
    <w:rsid w:val="00E864C3"/>
    <w:rsid w:val="00EA3AD0"/>
    <w:rsid w:val="00ED541D"/>
    <w:rsid w:val="00EF00AF"/>
    <w:rsid w:val="00F41E11"/>
    <w:rsid w:val="00F46C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72C3EAF"/>
  <w15:docId w15:val="{E7636F13-4653-4A71-B024-12182A48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D0C35"/>
    <w:rPr>
      <w:rFonts w:ascii="Helvetica" w:hAnsi="Helvetica"/>
      <w:sz w:val="22"/>
    </w:rPr>
  </w:style>
  <w:style w:type="paragraph" w:styleId="Heading1">
    <w:name w:val="heading 1"/>
    <w:basedOn w:val="1HeaderL1-Smallernogradient"/>
    <w:next w:val="Normal"/>
    <w:link w:val="Heading1Char"/>
    <w:qFormat/>
    <w:rsid w:val="005A7876"/>
    <w:pPr>
      <w:spacing w:before="0" w:after="0" w:line="240" w:lineRule="auto"/>
      <w:outlineLvl w:val="0"/>
    </w:pPr>
    <w:rPr>
      <w:b w:val="0"/>
      <w:color w:val="00876C"/>
      <w:sz w:val="36"/>
      <w:szCs w:val="36"/>
      <w:lang w:val="en-AU"/>
    </w:rPr>
  </w:style>
  <w:style w:type="paragraph" w:styleId="Heading2">
    <w:name w:val="heading 2"/>
    <w:basedOn w:val="Normal"/>
    <w:next w:val="Normal"/>
    <w:link w:val="Heading2Char"/>
    <w:qFormat/>
    <w:rsid w:val="005A7876"/>
    <w:pPr>
      <w:autoSpaceDE w:val="0"/>
      <w:autoSpaceDN w:val="0"/>
      <w:adjustRightInd w:val="0"/>
      <w:spacing w:after="120"/>
      <w:outlineLvl w:val="1"/>
    </w:pPr>
    <w:rPr>
      <w:color w:val="00876C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03108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rsid w:val="00AF68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1A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7876"/>
    <w:rPr>
      <w:rFonts w:ascii="Helvetica" w:hAnsi="Helvetica" w:cs="Helvetica"/>
      <w:bCs/>
      <w:color w:val="00876C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5A7876"/>
    <w:rPr>
      <w:rFonts w:ascii="Helvetica" w:hAnsi="Helvetica"/>
      <w:color w:val="00876C"/>
      <w:sz w:val="28"/>
      <w:szCs w:val="28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4D66"/>
    <w:rPr>
      <w:rFonts w:cs="Arial-Black"/>
      <w:spacing w:val="-5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14D66"/>
    <w:rPr>
      <w:rFonts w:cs="Arial-Black"/>
      <w:spacing w:val="-5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3C23"/>
    <w:pPr>
      <w:tabs>
        <w:tab w:val="right" w:pos="975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C23"/>
    <w:rPr>
      <w:sz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E4A63"/>
    <w:pPr>
      <w:widowControl w:val="0"/>
      <w:suppressAutoHyphens/>
      <w:autoSpaceDE w:val="0"/>
      <w:autoSpaceDN w:val="0"/>
      <w:adjustRightInd w:val="0"/>
      <w:spacing w:after="113"/>
      <w:textAlignment w:val="center"/>
    </w:pPr>
    <w:rPr>
      <w:rFonts w:cs="Arial"/>
      <w:bCs/>
      <w:color w:val="000000"/>
      <w:szCs w:val="22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8E4A63"/>
    <w:rPr>
      <w:rFonts w:ascii="Helvetica" w:hAnsi="Helvetica" w:cs="Arial"/>
      <w:bCs/>
      <w:noProof/>
      <w:color w:val="000000"/>
      <w:sz w:val="22"/>
      <w:szCs w:val="22"/>
      <w:lang w:val="en-GB"/>
    </w:rPr>
  </w:style>
  <w:style w:type="paragraph" w:styleId="BodyText">
    <w:name w:val="Body Text"/>
    <w:basedOn w:val="Normal"/>
    <w:link w:val="BodyTextChar"/>
    <w:qFormat/>
    <w:rsid w:val="00F46CAB"/>
    <w:pPr>
      <w:widowControl w:val="0"/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F46CAB"/>
    <w:rPr>
      <w:rFonts w:ascii="Helvetica" w:hAnsi="Helvetica" w:cs="Arial"/>
      <w:color w:val="000000"/>
      <w:sz w:val="22"/>
      <w:szCs w:val="20"/>
    </w:rPr>
  </w:style>
  <w:style w:type="paragraph" w:customStyle="1" w:styleId="Bullet1">
    <w:name w:val="Bullet 1"/>
    <w:basedOn w:val="ListParagraph"/>
    <w:qFormat/>
    <w:rsid w:val="00D85BBA"/>
    <w:pPr>
      <w:numPr>
        <w:numId w:val="16"/>
      </w:numPr>
      <w:ind w:left="426"/>
    </w:pPr>
    <w:rPr>
      <w:rFonts w:ascii="Helvetica" w:hAnsi="Helvetica"/>
      <w:sz w:val="20"/>
    </w:rPr>
  </w:style>
  <w:style w:type="paragraph" w:customStyle="1" w:styleId="Bullet2">
    <w:name w:val="Bullet 2"/>
    <w:basedOn w:val="Normal"/>
    <w:qFormat/>
    <w:rsid w:val="00D03108"/>
    <w:pPr>
      <w:numPr>
        <w:numId w:val="8"/>
      </w:numPr>
      <w:spacing w:after="28"/>
      <w:ind w:left="454" w:hanging="227"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D03108"/>
    <w:rPr>
      <w:rFonts w:ascii="Helvetica" w:eastAsia="Times New Roman" w:hAnsi="Helvetica"/>
      <w:b/>
      <w:bCs/>
      <w:noProof/>
      <w:sz w:val="22"/>
    </w:rPr>
  </w:style>
  <w:style w:type="paragraph" w:customStyle="1" w:styleId="Dear">
    <w:name w:val="Dear"/>
    <w:basedOn w:val="BodyText"/>
    <w:rsid w:val="0091208C"/>
    <w:pPr>
      <w:spacing w:before="360" w:after="360"/>
    </w:p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paragraph" w:customStyle="1" w:styleId="Bullet3">
    <w:name w:val="Bullet 3"/>
    <w:basedOn w:val="Normal"/>
    <w:rsid w:val="00D03108"/>
    <w:pPr>
      <w:numPr>
        <w:numId w:val="13"/>
      </w:numPr>
      <w:spacing w:after="28"/>
      <w:ind w:left="681" w:hanging="227"/>
    </w:pPr>
    <w:rPr>
      <w:rFonts w:cs="Arial"/>
    </w:rPr>
  </w:style>
  <w:style w:type="paragraph" w:styleId="BalloonText">
    <w:name w:val="Balloon Text"/>
    <w:basedOn w:val="Normal"/>
    <w:link w:val="BalloonTextChar"/>
    <w:rsid w:val="00CC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8EF"/>
    <w:rPr>
      <w:rFonts w:ascii="Tahoma" w:hAnsi="Tahoma" w:cs="Tahoma"/>
      <w:noProof/>
      <w:sz w:val="16"/>
      <w:szCs w:val="16"/>
    </w:rPr>
  </w:style>
  <w:style w:type="paragraph" w:customStyle="1" w:styleId="1HeaderL1-Smallernogradient">
    <w:name w:val="1. Header (L1) - Smaller no gradient"/>
    <w:basedOn w:val="Normal"/>
    <w:uiPriority w:val="99"/>
    <w:rsid w:val="00D34026"/>
    <w:pPr>
      <w:suppressAutoHyphens/>
      <w:autoSpaceDE w:val="0"/>
      <w:autoSpaceDN w:val="0"/>
      <w:adjustRightInd w:val="0"/>
      <w:spacing w:before="121" w:after="30" w:line="640" w:lineRule="atLeast"/>
      <w:textAlignment w:val="center"/>
    </w:pPr>
    <w:rPr>
      <w:rFonts w:cs="Helvetica"/>
      <w:b/>
      <w:bCs/>
      <w:color w:val="00F2FF"/>
      <w:sz w:val="60"/>
      <w:szCs w:val="60"/>
      <w:lang w:val="en-GB"/>
    </w:rPr>
  </w:style>
  <w:style w:type="character" w:customStyle="1" w:styleId="Bold">
    <w:name w:val="Bold"/>
    <w:uiPriority w:val="99"/>
    <w:rsid w:val="003468AB"/>
    <w:rPr>
      <w:rFonts w:ascii="Helvetica-Bold" w:hAnsi="Helvetica-Bold" w:cs="Helvetica-Bold"/>
      <w:b/>
      <w:bCs/>
    </w:rPr>
  </w:style>
  <w:style w:type="character" w:customStyle="1" w:styleId="Heading4Char">
    <w:name w:val="Heading 4 Char"/>
    <w:basedOn w:val="DefaultParagraphFont"/>
    <w:link w:val="Heading4"/>
    <w:rsid w:val="00AF6818"/>
    <w:rPr>
      <w:rFonts w:asciiTheme="majorHAnsi" w:eastAsiaTheme="majorEastAsia" w:hAnsiTheme="majorHAnsi" w:cstheme="majorBidi"/>
      <w:b/>
      <w:bCs/>
      <w:i/>
      <w:iCs/>
      <w:color w:val="0061A7" w:themeColor="accent1"/>
      <w:sz w:val="22"/>
    </w:rPr>
  </w:style>
  <w:style w:type="paragraph" w:styleId="ListParagraph">
    <w:name w:val="List Paragraph"/>
    <w:basedOn w:val="Normal"/>
    <w:uiPriority w:val="34"/>
    <w:qFormat/>
    <w:rsid w:val="0052426C"/>
    <w:pPr>
      <w:spacing w:after="120" w:line="285" w:lineRule="auto"/>
      <w:ind w:left="720"/>
      <w:contextualSpacing/>
    </w:pPr>
    <w:rPr>
      <w:rFonts w:ascii="Verdana" w:eastAsia="Times New Roman" w:hAnsi="Verdana"/>
      <w:color w:val="000000"/>
      <w:kern w:val="28"/>
      <w:sz w:val="21"/>
      <w:szCs w:val="20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52426C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426C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81263\Downloads\Workshop%20(Agenda)%20-%20Green%20(1).DOTX" TargetMode="External"/></Relationships>
</file>

<file path=word/theme/theme1.xml><?xml version="1.0" encoding="utf-8"?>
<a:theme xmlns:a="http://schemas.openxmlformats.org/drawingml/2006/main" name="Office Theme">
  <a:themeElements>
    <a:clrScheme name="Main Roads-Blue">
      <a:dk1>
        <a:sysClr val="windowText" lastClr="000000"/>
      </a:dk1>
      <a:lt1>
        <a:sysClr val="window" lastClr="FFFFFF"/>
      </a:lt1>
      <a:dk2>
        <a:srgbClr val="0F1F5F"/>
      </a:dk2>
      <a:lt2>
        <a:srgbClr val="FFFFFF"/>
      </a:lt2>
      <a:accent1>
        <a:srgbClr val="0061A7"/>
      </a:accent1>
      <a:accent2>
        <a:srgbClr val="00AEEF"/>
      </a:accent2>
      <a:accent3>
        <a:srgbClr val="858FB1"/>
      </a:accent3>
      <a:accent4>
        <a:srgbClr val="7FB0D3"/>
      </a:accent4>
      <a:accent5>
        <a:srgbClr val="80D3F4"/>
      </a:accent5>
      <a:accent6>
        <a:srgbClr val="58595B"/>
      </a:accent6>
      <a:hlink>
        <a:srgbClr val="58595B"/>
      </a:hlink>
      <a:folHlink>
        <a:srgbClr val="DCDDDE"/>
      </a:folHlink>
    </a:clrScheme>
    <a:fontScheme name="MR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6C31E-3A20-416C-BBB5-C29D1114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 (Agenda) - Green (1)</Template>
  <TotalTime>16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2000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HURRELL Sarah (CEAM)</dc:creator>
  <cp:lastModifiedBy>HURRELL Sarah (CEAM)</cp:lastModifiedBy>
  <cp:revision>3</cp:revision>
  <cp:lastPrinted>2015-04-14T02:49:00Z</cp:lastPrinted>
  <dcterms:created xsi:type="dcterms:W3CDTF">2021-05-31T01:41:00Z</dcterms:created>
  <dcterms:modified xsi:type="dcterms:W3CDTF">2021-05-31T04:37:00Z</dcterms:modified>
</cp:coreProperties>
</file>