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2E180" w14:textId="77777777" w:rsidR="00C624AE" w:rsidRDefault="00C624AE">
      <w:pPr>
        <w:rPr>
          <w:rFonts w:ascii="Arial" w:hAnsi="Arial" w:cs="Arial"/>
          <w:sz w:val="20"/>
          <w:szCs w:val="20"/>
        </w:rPr>
      </w:pPr>
    </w:p>
    <w:p w14:paraId="2D51DE97" w14:textId="77777777" w:rsidR="00C624AE" w:rsidRPr="00C624AE" w:rsidRDefault="00C624AE" w:rsidP="00C624AE">
      <w:pPr>
        <w:rPr>
          <w:rFonts w:ascii="Arial" w:hAnsi="Arial" w:cs="Arial"/>
          <w:sz w:val="20"/>
          <w:szCs w:val="20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3380"/>
        <w:gridCol w:w="1840"/>
        <w:gridCol w:w="8700"/>
      </w:tblGrid>
      <w:tr w:rsidR="00C624AE" w:rsidRPr="00C624AE" w14:paraId="63541E56" w14:textId="77777777" w:rsidTr="00C624AE">
        <w:trPr>
          <w:trHeight w:val="810"/>
        </w:trPr>
        <w:tc>
          <w:tcPr>
            <w:tcW w:w="13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14:paraId="38D520B2" w14:textId="77777777" w:rsidR="00C624AE" w:rsidRPr="00C624AE" w:rsidRDefault="00C624AE" w:rsidP="00C624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56"/>
                <w:szCs w:val="56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b/>
                <w:bCs/>
                <w:color w:val="FFFFFF"/>
                <w:sz w:val="56"/>
                <w:szCs w:val="56"/>
                <w:lang w:val="en-AU" w:eastAsia="en-AU"/>
              </w:rPr>
              <w:t>Sustainability Targets</w:t>
            </w:r>
          </w:p>
        </w:tc>
      </w:tr>
      <w:tr w:rsidR="00C624AE" w:rsidRPr="00C624AE" w14:paraId="69A9F1CB" w14:textId="77777777" w:rsidTr="00C624AE">
        <w:trPr>
          <w:trHeight w:val="735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D1CA2A2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23"/>
                <w:szCs w:val="23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b/>
                <w:bCs/>
                <w:color w:val="FFFFFF"/>
                <w:sz w:val="23"/>
                <w:szCs w:val="23"/>
                <w:lang w:val="en-AU" w:eastAsia="en-AU"/>
              </w:rPr>
              <w:t>Objectives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E97EF14" w14:textId="77777777" w:rsidR="00C624AE" w:rsidRPr="00C624AE" w:rsidRDefault="00C624AE" w:rsidP="00C624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3"/>
                <w:szCs w:val="23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b/>
                <w:bCs/>
                <w:color w:val="FFFFFF"/>
                <w:sz w:val="23"/>
                <w:szCs w:val="23"/>
                <w:lang w:val="en-AU" w:eastAsia="en-AU"/>
              </w:rPr>
              <w:t>Project Stage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5BB9E04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23"/>
                <w:szCs w:val="23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b/>
                <w:bCs/>
                <w:color w:val="FFFFFF"/>
                <w:sz w:val="23"/>
                <w:szCs w:val="23"/>
                <w:lang w:val="en-AU" w:eastAsia="en-AU"/>
              </w:rPr>
              <w:t>Target</w:t>
            </w:r>
          </w:p>
        </w:tc>
      </w:tr>
      <w:tr w:rsidR="00C624AE" w:rsidRPr="00C624AE" w14:paraId="2382CA02" w14:textId="77777777" w:rsidTr="00C624AE">
        <w:trPr>
          <w:trHeight w:val="600"/>
        </w:trPr>
        <w:tc>
          <w:tcPr>
            <w:tcW w:w="1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48235"/>
            <w:vAlign w:val="center"/>
            <w:hideMark/>
          </w:tcPr>
          <w:p w14:paraId="37ADD9A1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  <w:lang w:val="en-AU" w:eastAsia="en-AU"/>
              </w:rPr>
              <w:t>Focus Area: Enhanced Urban Design and Placemaking</w:t>
            </w:r>
          </w:p>
        </w:tc>
      </w:tr>
      <w:tr w:rsidR="00C624AE" w:rsidRPr="00C624AE" w14:paraId="5D7462D1" w14:textId="77777777" w:rsidTr="00C624AE">
        <w:trPr>
          <w:trHeight w:val="57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845E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lang w:val="en-AU" w:eastAsia="en-AU"/>
              </w:rPr>
              <w:t>Enhance the Swan River Crossing and surrounding area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EFB98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Design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A9FF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Investigate opportunities to enhance the Swan River precinct identified in consultation with key external stakeholders</w:t>
            </w:r>
          </w:p>
        </w:tc>
      </w:tr>
      <w:tr w:rsidR="00C624AE" w:rsidRPr="00C624AE" w14:paraId="317AD27F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DB31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8DCE2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Construction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D47E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Implement at least two (2) opportunities to enhance the Swan River precinct identified during consultation with key external stakeholders</w:t>
            </w:r>
          </w:p>
        </w:tc>
      </w:tr>
      <w:tr w:rsidR="00C624AE" w:rsidRPr="00C624AE" w14:paraId="6C633A10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1B31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0476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Operation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FEA8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Maintain the implemented Swan River precinct enhancement opportunities</w:t>
            </w:r>
          </w:p>
        </w:tc>
      </w:tr>
      <w:tr w:rsidR="00C624AE" w:rsidRPr="00C624AE" w14:paraId="73470A07" w14:textId="77777777" w:rsidTr="00C624AE">
        <w:trPr>
          <w:trHeight w:val="57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5925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lang w:val="en-AU" w:eastAsia="en-AU"/>
              </w:rPr>
              <w:t xml:space="preserve">Maximise connectivity for </w:t>
            </w:r>
            <w:proofErr w:type="spellStart"/>
            <w:r w:rsidRPr="00C624AE">
              <w:rPr>
                <w:rFonts w:ascii="Segoe UI" w:eastAsia="Times New Roman" w:hAnsi="Segoe UI" w:cs="Segoe UI"/>
                <w:color w:val="000000"/>
                <w:lang w:val="en-AU" w:eastAsia="en-AU"/>
              </w:rPr>
              <w:t>multi mode</w:t>
            </w:r>
            <w:proofErr w:type="spellEnd"/>
            <w:r w:rsidRPr="00C624AE">
              <w:rPr>
                <w:rFonts w:ascii="Segoe UI" w:eastAsia="Times New Roman" w:hAnsi="Segoe UI" w:cs="Segoe UI"/>
                <w:color w:val="000000"/>
                <w:lang w:val="en-AU" w:eastAsia="en-AU"/>
              </w:rPr>
              <w:t xml:space="preserve"> transport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B87B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Design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30EF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Investigate the needs of all users and transport modes to identify opportunities to improve user connectivity and adopt at least one (1) per mode of transport</w:t>
            </w:r>
          </w:p>
        </w:tc>
      </w:tr>
      <w:tr w:rsidR="00C624AE" w:rsidRPr="00C624AE" w14:paraId="33E0B5B9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9A25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2A9F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Construction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03E8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Implement at least one (1) opportunity to improve user connectivity for each mode of transport identified for the project</w:t>
            </w:r>
          </w:p>
        </w:tc>
      </w:tr>
      <w:tr w:rsidR="00C624AE" w:rsidRPr="00C624AE" w14:paraId="340E60F6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36E6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F457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Operation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7ED4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Maintain the implemented user connectivity transport opportunities</w:t>
            </w:r>
          </w:p>
        </w:tc>
      </w:tr>
      <w:tr w:rsidR="00C624AE" w:rsidRPr="00C624AE" w14:paraId="22DD034E" w14:textId="77777777" w:rsidTr="00C624AE">
        <w:trPr>
          <w:trHeight w:val="30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7DF5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lang w:val="en-AU" w:eastAsia="en-AU"/>
              </w:rPr>
              <w:t>Preserve and enhance ecological values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E981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Design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0155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Investigate at least one (1) environmental enhancement opportunity</w:t>
            </w:r>
          </w:p>
        </w:tc>
      </w:tr>
      <w:tr w:rsidR="00C624AE" w:rsidRPr="00C624AE" w14:paraId="72754CAA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909E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CC999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Construction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E85E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Implement at least one (1) environmental enhancement opportunity, with a stretch target for two (2) opportunities</w:t>
            </w:r>
          </w:p>
        </w:tc>
      </w:tr>
      <w:tr w:rsidR="00C624AE" w:rsidRPr="00C624AE" w14:paraId="73A2D4DF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12E4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757D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Operation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33F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Maintain the implemented environmental enhancement opportunity(</w:t>
            </w:r>
            <w:proofErr w:type="spellStart"/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ies</w:t>
            </w:r>
            <w:proofErr w:type="spellEnd"/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)</w:t>
            </w:r>
          </w:p>
        </w:tc>
      </w:tr>
      <w:tr w:rsidR="00C624AE" w:rsidRPr="00C624AE" w14:paraId="2546B30D" w14:textId="77777777" w:rsidTr="00C624AE">
        <w:trPr>
          <w:trHeight w:val="30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D58CF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lang w:val="en-AU" w:eastAsia="en-AU"/>
              </w:rPr>
              <w:t>Preserve and enhance heritage values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E953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Design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CCBF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Investigate at least one (1) heritage enhancement opportunity and adopt one (1) opportunity</w:t>
            </w:r>
          </w:p>
        </w:tc>
      </w:tr>
      <w:tr w:rsidR="00C624AE" w:rsidRPr="00C624AE" w14:paraId="7A999E1C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B059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D09C5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Construction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9052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Implement at least one (1) adopted heritage enhancement opportunity/project</w:t>
            </w:r>
          </w:p>
        </w:tc>
      </w:tr>
      <w:tr w:rsidR="00C624AE" w:rsidRPr="00C624AE" w14:paraId="74E06886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8FFB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77B1C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Operation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9C71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Maintain the heritage environmental enhancement opportunity/project</w:t>
            </w:r>
          </w:p>
        </w:tc>
      </w:tr>
      <w:tr w:rsidR="00C624AE" w:rsidRPr="00C624AE" w14:paraId="67166801" w14:textId="77777777" w:rsidTr="00C624AE">
        <w:trPr>
          <w:trHeight w:val="405"/>
        </w:trPr>
        <w:tc>
          <w:tcPr>
            <w:tcW w:w="1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48235"/>
            <w:vAlign w:val="center"/>
            <w:hideMark/>
          </w:tcPr>
          <w:p w14:paraId="6016D5D6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  <w:lang w:val="en-AU" w:eastAsia="en-AU"/>
              </w:rPr>
              <w:t>Focus Area: Management and Mitigation of Impacts to Water</w:t>
            </w:r>
          </w:p>
        </w:tc>
      </w:tr>
      <w:tr w:rsidR="00C624AE" w:rsidRPr="00C624AE" w14:paraId="116CB08C" w14:textId="77777777" w:rsidTr="00C624AE">
        <w:trPr>
          <w:trHeight w:val="57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D277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lang w:val="en-AU" w:eastAsia="en-AU"/>
              </w:rPr>
              <w:t xml:space="preserve">Optimise the design and groundwater interface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712D8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Design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CCBA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Investigate opportunities for minimising the risk and challenges of the design and groundwater interface and adopt at least three (3) opportunities</w:t>
            </w:r>
          </w:p>
        </w:tc>
      </w:tr>
      <w:tr w:rsidR="00C624AE" w:rsidRPr="00C624AE" w14:paraId="208DDEE0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AE73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1F1C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Construction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4AE4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Implement the three (3) adopted mitigation strategies for minimising the risk and challenges of the design and groundwater interface  identified during design</w:t>
            </w:r>
          </w:p>
        </w:tc>
      </w:tr>
      <w:tr w:rsidR="00C624AE" w:rsidRPr="00C624AE" w14:paraId="4D87CECC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0D3D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E382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Operation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BFEE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Maintain the implemented mitigation strategies for minimising the risk and challenges of the design and groundwater interface </w:t>
            </w:r>
          </w:p>
        </w:tc>
      </w:tr>
      <w:tr w:rsidR="00C624AE" w:rsidRPr="00C624AE" w14:paraId="6B0AC5A3" w14:textId="77777777" w:rsidTr="00C624AE">
        <w:trPr>
          <w:trHeight w:val="57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50EE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lang w:val="en-AU" w:eastAsia="en-AU"/>
              </w:rPr>
              <w:t xml:space="preserve">Minimising the impacts of groundwater contamination and acid </w:t>
            </w:r>
            <w:proofErr w:type="spellStart"/>
            <w:r w:rsidRPr="00C624AE">
              <w:rPr>
                <w:rFonts w:ascii="Segoe UI" w:eastAsia="Times New Roman" w:hAnsi="Segoe UI" w:cs="Segoe UI"/>
                <w:color w:val="000000"/>
                <w:lang w:val="en-AU" w:eastAsia="en-AU"/>
              </w:rPr>
              <w:t>sulfate</w:t>
            </w:r>
            <w:proofErr w:type="spellEnd"/>
            <w:r w:rsidRPr="00C624AE">
              <w:rPr>
                <w:rFonts w:ascii="Segoe UI" w:eastAsia="Times New Roman" w:hAnsi="Segoe UI" w:cs="Segoe UI"/>
                <w:color w:val="000000"/>
                <w:lang w:val="en-AU" w:eastAsia="en-AU"/>
              </w:rPr>
              <w:t xml:space="preserve"> soils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CEBF16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Design</w:t>
            </w:r>
          </w:p>
        </w:tc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75F4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Optimise the design to minimise disturbance of acid </w:t>
            </w:r>
            <w:proofErr w:type="spellStart"/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sulfate</w:t>
            </w:r>
            <w:proofErr w:type="spellEnd"/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 soils and groundwater/soil contamination</w:t>
            </w:r>
          </w:p>
        </w:tc>
      </w:tr>
      <w:tr w:rsidR="00C624AE" w:rsidRPr="00C624AE" w14:paraId="78DA9BA9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00AB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1F5CBE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967A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Prepare an Acid </w:t>
            </w:r>
            <w:proofErr w:type="spellStart"/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Sulfate</w:t>
            </w:r>
            <w:proofErr w:type="spellEnd"/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 Soils Management Plan (ASSMP) with the aim to meeting the </w:t>
            </w:r>
            <w:r w:rsidRPr="00C624AE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val="en-AU" w:eastAsia="en-AU"/>
              </w:rPr>
              <w:t xml:space="preserve">Treatment and management of soil and water in Acid </w:t>
            </w:r>
            <w:proofErr w:type="spellStart"/>
            <w:r w:rsidRPr="00C624AE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val="en-AU" w:eastAsia="en-AU"/>
              </w:rPr>
              <w:t>Sulfate</w:t>
            </w:r>
            <w:proofErr w:type="spellEnd"/>
            <w:r w:rsidRPr="00C624AE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val="en-AU" w:eastAsia="en-AU"/>
              </w:rPr>
              <w:t xml:space="preserve"> Soil landscapes </w:t>
            </w: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guidelines</w:t>
            </w:r>
            <w:r w:rsidRPr="00C624AE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val="en-AU" w:eastAsia="en-AU"/>
              </w:rPr>
              <w:t xml:space="preserve"> </w:t>
            </w: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(DWER 2015)</w:t>
            </w:r>
          </w:p>
        </w:tc>
      </w:tr>
      <w:tr w:rsidR="00C624AE" w:rsidRPr="00C624AE" w14:paraId="7AFAEF9C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ACB6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F8A7F3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C30F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Prepare a Site Contamination Management Plan (SCMP) with the aim to meeting the </w:t>
            </w:r>
            <w:r w:rsidRPr="00C624AE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val="en-AU" w:eastAsia="en-AU"/>
              </w:rPr>
              <w:t xml:space="preserve">Contaminated Sites Guidelines </w:t>
            </w: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(DWER 2014). </w:t>
            </w:r>
          </w:p>
        </w:tc>
      </w:tr>
      <w:tr w:rsidR="00C624AE" w:rsidRPr="00C624AE" w14:paraId="4EBF18AF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39B9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E200A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Construction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CB18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Implement the prepared ASSMP</w:t>
            </w:r>
          </w:p>
        </w:tc>
      </w:tr>
      <w:tr w:rsidR="00C624AE" w:rsidRPr="00C624AE" w14:paraId="2343E11E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C310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1F191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F65C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Implement the prepared SCMP</w:t>
            </w:r>
          </w:p>
        </w:tc>
      </w:tr>
      <w:tr w:rsidR="00C624AE" w:rsidRPr="00C624AE" w14:paraId="3DB26219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107D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8E63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Operation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32EC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Maintain management strategies implemented during construction as per the ASSMP and SCMP</w:t>
            </w:r>
          </w:p>
        </w:tc>
      </w:tr>
      <w:tr w:rsidR="00C624AE" w:rsidRPr="00C624AE" w14:paraId="367E004B" w14:textId="77777777" w:rsidTr="00C624AE">
        <w:trPr>
          <w:trHeight w:val="57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A352A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lang w:val="en-AU" w:eastAsia="en-AU"/>
              </w:rPr>
              <w:t>Minimise impacts and improve discharge quality to surface water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69587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Design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2CE4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Investigate methods and management measures to minimise unplanned or unexpected impacts on the Swan River water quality or use</w:t>
            </w:r>
          </w:p>
        </w:tc>
      </w:tr>
      <w:tr w:rsidR="00C624AE" w:rsidRPr="00C624AE" w14:paraId="21337276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1271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40AE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Construction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45ED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Implement the identified methods and management measures to minimise impacts on the Swan River water quality or use</w:t>
            </w:r>
          </w:p>
        </w:tc>
      </w:tr>
      <w:tr w:rsidR="00C624AE" w:rsidRPr="00C624AE" w14:paraId="7A7BFAFA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D8C8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B482D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9FD1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Achieve no more than two (2) Class 2 incidents and zero (0) Class 1 incidents, as defined by the TGA Environmental Management Plan</w:t>
            </w:r>
          </w:p>
        </w:tc>
      </w:tr>
      <w:tr w:rsidR="00C624AE" w:rsidRPr="00C624AE" w14:paraId="445B4FA8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31F3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0E4C3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CA21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Implement monitoring of the Swan River and achieve the water quality criteria as specified in the management plan approved under the </w:t>
            </w:r>
            <w:r w:rsidRPr="00C624AE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val="en-AU" w:eastAsia="en-AU"/>
              </w:rPr>
              <w:t>Swan and Canning Rivers Management Act 2006</w:t>
            </w: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. </w:t>
            </w:r>
          </w:p>
        </w:tc>
      </w:tr>
      <w:tr w:rsidR="00C624AE" w:rsidRPr="00C624AE" w14:paraId="1853542F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C568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11DC5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Operation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D320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Maintain the implemented management measures to minimise impacts to the water quality of the Swan River</w:t>
            </w:r>
          </w:p>
        </w:tc>
      </w:tr>
      <w:tr w:rsidR="00C624AE" w:rsidRPr="00C624AE" w14:paraId="2CCD0C0C" w14:textId="77777777" w:rsidTr="00C624AE">
        <w:trPr>
          <w:trHeight w:val="405"/>
        </w:trPr>
        <w:tc>
          <w:tcPr>
            <w:tcW w:w="1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48235"/>
            <w:vAlign w:val="center"/>
            <w:hideMark/>
          </w:tcPr>
          <w:p w14:paraId="4FD15595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  <w:lang w:val="en-AU" w:eastAsia="en-AU"/>
              </w:rPr>
              <w:t>Focus Area: Efficient Resource Use and Sourcing</w:t>
            </w:r>
          </w:p>
        </w:tc>
      </w:tr>
      <w:tr w:rsidR="00C624AE" w:rsidRPr="00C624AE" w14:paraId="4D427FC6" w14:textId="77777777" w:rsidTr="00C624AE">
        <w:trPr>
          <w:trHeight w:val="57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3F6CF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lang w:val="en-AU" w:eastAsia="en-AU"/>
              </w:rPr>
              <w:t>Optimise material selection and quantity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43DC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Design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0E89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Investigate opportunities to reduce the use of material and adopt at least two (2), with a stretch target for four (4) opportunities for material reduction/use of recycled products</w:t>
            </w:r>
          </w:p>
        </w:tc>
      </w:tr>
      <w:tr w:rsidR="00C624AE" w:rsidRPr="00C624AE" w14:paraId="25B36C48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BF40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1B871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Construction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97C0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Achieve at least a 5% reduction in materials used on the project as measured by the IS Materials Calculator (i.e. based on environmental impacts)</w:t>
            </w:r>
          </w:p>
        </w:tc>
      </w:tr>
      <w:tr w:rsidR="00C624AE" w:rsidRPr="00C624AE" w14:paraId="7293353C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BD3A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4752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Operation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1F8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Minimise use of virgin materials during maintenance</w:t>
            </w:r>
          </w:p>
        </w:tc>
      </w:tr>
      <w:tr w:rsidR="00C624AE" w:rsidRPr="00C624AE" w14:paraId="5335621D" w14:textId="77777777" w:rsidTr="00C624AE">
        <w:trPr>
          <w:trHeight w:val="30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3F9A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lang w:val="en-AU" w:eastAsia="en-AU"/>
              </w:rPr>
              <w:t>Reduce energy requirements and emissions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B3B6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Design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32DF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Investigate energy efficiency opportunities and implement at least three (3)</w:t>
            </w:r>
          </w:p>
        </w:tc>
      </w:tr>
      <w:tr w:rsidR="00C624AE" w:rsidRPr="00C624AE" w14:paraId="5FFE7FF2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C8DA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36A0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Construction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7364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Achieve at least a 5% reduction in energy used or emissions (Scope 1 and 2) created during project lifetime (construction and operation)</w:t>
            </w:r>
          </w:p>
        </w:tc>
      </w:tr>
      <w:tr w:rsidR="00C624AE" w:rsidRPr="00C624AE" w14:paraId="1A46D1E6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3EBB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6147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Operation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B65D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Maintain the asset to ensure that electrical equipment runs efficiently</w:t>
            </w:r>
          </w:p>
        </w:tc>
      </w:tr>
      <w:tr w:rsidR="00C624AE" w:rsidRPr="00C624AE" w14:paraId="5D34CF50" w14:textId="77777777" w:rsidTr="00C624AE">
        <w:trPr>
          <w:trHeight w:val="30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1C4E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lang w:val="en-AU" w:eastAsia="en-AU"/>
              </w:rPr>
              <w:t>Reduce water requirements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9535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Design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E6EC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Investigate opportunities to improve water efficiency and adopt at least three (3)</w:t>
            </w:r>
          </w:p>
        </w:tc>
      </w:tr>
      <w:tr w:rsidR="00C624AE" w:rsidRPr="00C624AE" w14:paraId="18C16EE2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1956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D9F3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Construction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13B9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Achieve at least a 5% reduction in total water used on the project (construction and operation)</w:t>
            </w:r>
          </w:p>
        </w:tc>
      </w:tr>
      <w:tr w:rsidR="00C624AE" w:rsidRPr="00C624AE" w14:paraId="3A466C84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A34D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09A96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Operation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4FA0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Maintain the asset to ensure that water consuming equipment and processes operate efficiently</w:t>
            </w:r>
          </w:p>
        </w:tc>
      </w:tr>
      <w:tr w:rsidR="00C624AE" w:rsidRPr="00C624AE" w14:paraId="72CCE618" w14:textId="77777777" w:rsidTr="00C624AE">
        <w:trPr>
          <w:trHeight w:val="57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D10E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lang w:val="en-AU" w:eastAsia="en-AU"/>
              </w:rPr>
              <w:t>Reduce waste and maximise onsite reuse and recycling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DC68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Design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3ED9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Investigate waste minimisation and recycling opportunities on the project and adopt at least three (3)</w:t>
            </w:r>
          </w:p>
        </w:tc>
      </w:tr>
      <w:tr w:rsidR="00C624AE" w:rsidRPr="00C624AE" w14:paraId="41529906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409B3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EFEB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Construction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E6AE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Divert at least 85% of clean/inert excavation spoil from landfill and reuse at least 50% onsite</w:t>
            </w:r>
          </w:p>
        </w:tc>
      </w:tr>
      <w:tr w:rsidR="00C624AE" w:rsidRPr="00C624AE" w14:paraId="22E9D31D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53FBE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B1737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85DA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Divert at least 60% of office resource outputs from landfill</w:t>
            </w:r>
          </w:p>
        </w:tc>
      </w:tr>
      <w:tr w:rsidR="00C624AE" w:rsidRPr="00C624AE" w14:paraId="517E9B78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4CDFB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F1D34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3A06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Divert at least 70% of other inert resource outputs from landfill</w:t>
            </w:r>
          </w:p>
        </w:tc>
      </w:tr>
      <w:tr w:rsidR="00C624AE" w:rsidRPr="00C624AE" w14:paraId="11195EA8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F39A4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30366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2A15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Re-use/retain at least 65% of contaminated soil on site, and dispose of not greater than 10% to landfill</w:t>
            </w:r>
          </w:p>
        </w:tc>
      </w:tr>
      <w:tr w:rsidR="00C624AE" w:rsidRPr="00C624AE" w14:paraId="44F43032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10802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CF84F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E8C1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Re-use/retain at least 50% of acid </w:t>
            </w:r>
            <w:proofErr w:type="spellStart"/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sulfate</w:t>
            </w:r>
            <w:proofErr w:type="spellEnd"/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 soils on site, and dispose of not greater than 15% to landfill</w:t>
            </w:r>
          </w:p>
        </w:tc>
      </w:tr>
      <w:tr w:rsidR="00C624AE" w:rsidRPr="00C624AE" w14:paraId="0AD15689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9C035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AD7C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Operation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4E08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Divert at least 85% of clean/inert excavation spoil from landfill</w:t>
            </w:r>
          </w:p>
        </w:tc>
      </w:tr>
      <w:tr w:rsidR="00C624AE" w:rsidRPr="00C624AE" w14:paraId="1AF7A47D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18024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DABAA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5047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Divert at least 60% of office resource outputs from landfill</w:t>
            </w:r>
          </w:p>
        </w:tc>
      </w:tr>
      <w:tr w:rsidR="00C624AE" w:rsidRPr="00C624AE" w14:paraId="594BB593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E0A15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583B8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1D9D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Divert at least 85% of other inert resource outputs from landfill</w:t>
            </w:r>
          </w:p>
        </w:tc>
      </w:tr>
      <w:tr w:rsidR="00C624AE" w:rsidRPr="00C624AE" w14:paraId="2BDC2704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1A251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CD611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1F72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Re-use/retain at least 50% of acid </w:t>
            </w:r>
            <w:proofErr w:type="spellStart"/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sulfate</w:t>
            </w:r>
            <w:proofErr w:type="spellEnd"/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 soils on sit, and dispose of not greater than 15% to landfill</w:t>
            </w:r>
          </w:p>
        </w:tc>
      </w:tr>
      <w:tr w:rsidR="00C624AE" w:rsidRPr="00C624AE" w14:paraId="25B34B91" w14:textId="77777777" w:rsidTr="00C624AE">
        <w:trPr>
          <w:trHeight w:val="57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8CAF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lang w:val="en-AU" w:eastAsia="en-AU"/>
              </w:rPr>
              <w:t>Integration of offsite recycled products and materials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F34E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Design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0074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Investigate opportunities to replace the use of virgin materials and adopt at least two (2), with a stretch target for four (4) opportunities</w:t>
            </w:r>
          </w:p>
        </w:tc>
      </w:tr>
      <w:tr w:rsidR="00C624AE" w:rsidRPr="00C624AE" w14:paraId="6C59405E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C2F4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FD36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Construction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A9AD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Implement at least two (2) opportunities, with a stretch target for four (4) opportunities</w:t>
            </w:r>
          </w:p>
        </w:tc>
      </w:tr>
      <w:tr w:rsidR="00C624AE" w:rsidRPr="00C624AE" w14:paraId="4BE7935E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43EB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56C42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Operation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EA4F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Maximise use of recycled products or materials during maintenance</w:t>
            </w:r>
          </w:p>
        </w:tc>
      </w:tr>
      <w:tr w:rsidR="00C624AE" w:rsidRPr="00C624AE" w14:paraId="32198AB6" w14:textId="77777777" w:rsidTr="00C624AE">
        <w:trPr>
          <w:trHeight w:val="405"/>
        </w:trPr>
        <w:tc>
          <w:tcPr>
            <w:tcW w:w="1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48235"/>
            <w:vAlign w:val="center"/>
            <w:hideMark/>
          </w:tcPr>
          <w:p w14:paraId="0E0D5F9C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  <w:lang w:val="en-AU" w:eastAsia="en-AU"/>
              </w:rPr>
              <w:t>Focus Area: Industry Prosperity</w:t>
            </w:r>
          </w:p>
        </w:tc>
      </w:tr>
      <w:tr w:rsidR="00C624AE" w:rsidRPr="00C624AE" w14:paraId="0E7D5779" w14:textId="77777777" w:rsidTr="00C624AE">
        <w:trPr>
          <w:trHeight w:val="30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B33F3" w14:textId="77777777" w:rsidR="00C624AE" w:rsidRPr="00C624AE" w:rsidRDefault="00C624AE" w:rsidP="00C624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lang w:val="en-AU" w:eastAsia="en-AU"/>
              </w:rPr>
              <w:t>Improve workforce diversity and wellbeing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49DDD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Design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DDB0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Achieve 4 on the cultural and wellness survey of team cohesion</w:t>
            </w:r>
          </w:p>
        </w:tc>
      </w:tr>
      <w:tr w:rsidR="00C624AE" w:rsidRPr="00C624AE" w14:paraId="61A6C0C1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168B6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B1151" w14:textId="77777777" w:rsidR="00C624AE" w:rsidRPr="00C624AE" w:rsidRDefault="00C624AE" w:rsidP="00C624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Construction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2C5D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Achieve 4 on the cultural and wellness survey of team cohesion</w:t>
            </w:r>
          </w:p>
        </w:tc>
      </w:tr>
      <w:tr w:rsidR="00C624AE" w:rsidRPr="00C624AE" w14:paraId="48285757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D8534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BF49B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BA8C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Attract and retain at least 10% of new entrants into the workforce (new employees with less than 5 years' experience)</w:t>
            </w:r>
          </w:p>
        </w:tc>
      </w:tr>
      <w:tr w:rsidR="00C624AE" w:rsidRPr="00C624AE" w14:paraId="73B5B530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B6D36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98AD5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DB88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Achieve at least 10% of the workforce representing women</w:t>
            </w:r>
          </w:p>
        </w:tc>
      </w:tr>
      <w:tr w:rsidR="00C624AE" w:rsidRPr="00C624AE" w14:paraId="3337C856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4E8E7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7A022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3DBA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Fundraise for 1 event supporting people living with disabilities such as City to Surf for </w:t>
            </w:r>
            <w:proofErr w:type="spellStart"/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Activ</w:t>
            </w:r>
            <w:proofErr w:type="spellEnd"/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 (host a team etc.) </w:t>
            </w:r>
          </w:p>
        </w:tc>
      </w:tr>
      <w:tr w:rsidR="00C624AE" w:rsidRPr="00C624AE" w14:paraId="440A80E1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D54D1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BE45D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A92B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Celebrate 1 event during Pride Month or throughout the year</w:t>
            </w:r>
          </w:p>
        </w:tc>
      </w:tr>
      <w:tr w:rsidR="00C624AE" w:rsidRPr="00C624AE" w14:paraId="62D7A1B8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F22A9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18EF4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ED26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Develop a Flexible Working Arrangements Policy</w:t>
            </w:r>
          </w:p>
        </w:tc>
      </w:tr>
      <w:tr w:rsidR="00C624AE" w:rsidRPr="00C624AE" w14:paraId="723F4D03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404A9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381B0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22EB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Investigate engagement through the Infrastructure Ready Program</w:t>
            </w:r>
          </w:p>
        </w:tc>
      </w:tr>
      <w:tr w:rsidR="00C624AE" w:rsidRPr="00C624AE" w14:paraId="7B10FB6E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A5C69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7E669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21D0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Celebrate 1 event for Harmony Week  </w:t>
            </w:r>
          </w:p>
        </w:tc>
      </w:tr>
      <w:tr w:rsidR="00C624AE" w:rsidRPr="00C624AE" w14:paraId="1F66E25D" w14:textId="77777777" w:rsidTr="00C624AE">
        <w:trPr>
          <w:trHeight w:val="33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AA71E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02FD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Operation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7CA1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Achieve at least 10% of the workforce representing women in non-traditional roles</w:t>
            </w:r>
          </w:p>
        </w:tc>
      </w:tr>
      <w:tr w:rsidR="00C624AE" w:rsidRPr="00C624AE" w14:paraId="1DE87429" w14:textId="77777777" w:rsidTr="00C624AE">
        <w:trPr>
          <w:trHeight w:val="8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6D443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lang w:val="en-AU" w:eastAsia="en-AU"/>
              </w:rPr>
              <w:t>Develop capability and capacity in small subcontractors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FD50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Construction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99E9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Prepare at least three discrete packages of work to enable to WA Limestone to </w:t>
            </w:r>
            <w:r w:rsidR="00FD19EA"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achieve</w:t>
            </w: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 Main Roads prequalification level R2, and two other small subcontractors have intent to submit for B1/R1. </w:t>
            </w:r>
          </w:p>
        </w:tc>
      </w:tr>
      <w:tr w:rsidR="00C624AE" w:rsidRPr="00C624AE" w14:paraId="4C34A02A" w14:textId="77777777" w:rsidTr="00C624AE">
        <w:trPr>
          <w:trHeight w:val="57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0DAD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lang w:val="en-AU" w:eastAsia="en-AU"/>
              </w:rPr>
              <w:t>Increase Aboriginal participation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9C4F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Design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6349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Investigate and establish business baseline for engaging Aboriginal businesses during construction</w:t>
            </w:r>
          </w:p>
        </w:tc>
      </w:tr>
      <w:tr w:rsidR="00C624AE" w:rsidRPr="00C624AE" w14:paraId="125D7E58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5163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0C8B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Construction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1893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Engage at least 30 FTEs for the entire project duration</w:t>
            </w:r>
          </w:p>
        </w:tc>
      </w:tr>
      <w:tr w:rsidR="00C624AE" w:rsidRPr="00C624AE" w14:paraId="129856D9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BFA0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825CE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3104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Award at least $10M of contracts to Aboriginal businesses</w:t>
            </w:r>
          </w:p>
        </w:tc>
      </w:tr>
      <w:tr w:rsidR="00C624AE" w:rsidRPr="00C624AE" w14:paraId="1281F2D1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87FD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5E7D9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6240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Provide at least 1 mentor to Aboriginal employees for project duration</w:t>
            </w:r>
          </w:p>
        </w:tc>
      </w:tr>
      <w:tr w:rsidR="00C624AE" w:rsidRPr="00C624AE" w14:paraId="41C509EC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ECEE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A385C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E95A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Establish a Project Working Group and implement at least two (2) initiatives</w:t>
            </w:r>
          </w:p>
        </w:tc>
      </w:tr>
      <w:tr w:rsidR="00C624AE" w:rsidRPr="00C624AE" w14:paraId="199B4F65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6F9C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389B72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5435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An Aboriginal Coordinator was appointed for the project and was available for at least 20%-30% of the project</w:t>
            </w:r>
          </w:p>
        </w:tc>
      </w:tr>
      <w:tr w:rsidR="00C624AE" w:rsidRPr="00C624AE" w14:paraId="4E78C6A3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9CDF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C0648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Operation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C7F5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Achieve and maintain at least 4% of the permanent workforce with Aboriginal employees</w:t>
            </w:r>
          </w:p>
        </w:tc>
      </w:tr>
      <w:tr w:rsidR="00C624AE" w:rsidRPr="00C624AE" w14:paraId="0358926A" w14:textId="77777777" w:rsidTr="00C624AE">
        <w:trPr>
          <w:trHeight w:val="405"/>
        </w:trPr>
        <w:tc>
          <w:tcPr>
            <w:tcW w:w="1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48235"/>
            <w:vAlign w:val="center"/>
            <w:hideMark/>
          </w:tcPr>
          <w:p w14:paraId="0A6943BE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  <w:lang w:val="en-AU" w:eastAsia="en-AU"/>
              </w:rPr>
              <w:t>Focus Area: Consultation and Partnership</w:t>
            </w:r>
          </w:p>
        </w:tc>
      </w:tr>
      <w:tr w:rsidR="00C624AE" w:rsidRPr="00C624AE" w14:paraId="4F8794A1" w14:textId="77777777" w:rsidTr="00C624AE">
        <w:trPr>
          <w:trHeight w:val="57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9D6F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lang w:val="en-AU" w:eastAsia="en-AU"/>
              </w:rPr>
              <w:t xml:space="preserve">Effective community engagement 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59C9E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Design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2574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Communicate to external stakeholders and the community the proposed dust mitigation strategies and monitoring</w:t>
            </w:r>
          </w:p>
        </w:tc>
      </w:tr>
      <w:tr w:rsidR="00C624AE" w:rsidRPr="00C624AE" w14:paraId="477562F7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B4E4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149F2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AED2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Communicate to external stakeholders and the community the proposed noise mitigation strategies and monitoring</w:t>
            </w:r>
          </w:p>
        </w:tc>
      </w:tr>
      <w:tr w:rsidR="00C624AE" w:rsidRPr="00C624AE" w14:paraId="160F517E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6BCD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A204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47BF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Communicate to external stakeholders and the community the proposed vibration mitigation strategies and monitoring</w:t>
            </w:r>
          </w:p>
        </w:tc>
      </w:tr>
      <w:tr w:rsidR="00C624AE" w:rsidRPr="00C624AE" w14:paraId="70B3405C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FFD9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52710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549F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Complete stakeholder satisfaction surveys every 6 months and achieve at least a 60% rate for community satisfaction</w:t>
            </w:r>
          </w:p>
        </w:tc>
      </w:tr>
      <w:tr w:rsidR="00C624AE" w:rsidRPr="00C624AE" w14:paraId="33E0E928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F924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AAD52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B6D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Complete community perception surveys every 6 months and achieve at least a 50% rate for community sentiment</w:t>
            </w:r>
          </w:p>
        </w:tc>
      </w:tr>
      <w:tr w:rsidR="00C624AE" w:rsidRPr="00C624AE" w14:paraId="2CF42B58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8516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789DD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A33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Identify and implement targeted stakeholder engagement activities</w:t>
            </w:r>
          </w:p>
        </w:tc>
      </w:tr>
      <w:tr w:rsidR="00C624AE" w:rsidRPr="00C624AE" w14:paraId="6666AA8E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8957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4952F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3052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Stakeholder input influences more than one (1) priority project negotiable (as defined in the CSEP)</w:t>
            </w:r>
          </w:p>
        </w:tc>
      </w:tr>
      <w:tr w:rsidR="00C624AE" w:rsidRPr="00C624AE" w14:paraId="485A0B0D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F197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5E5D4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Construction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3CB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Maintain communication channels and maintain dust mitigation strategies and monitoring</w:t>
            </w:r>
          </w:p>
        </w:tc>
      </w:tr>
      <w:tr w:rsidR="00C624AE" w:rsidRPr="00C624AE" w14:paraId="522122D0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D66D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CF23C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AB15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Maintain communication channels and maintain  noise mitigation strategies and monitoring</w:t>
            </w:r>
          </w:p>
        </w:tc>
      </w:tr>
      <w:tr w:rsidR="00C624AE" w:rsidRPr="00C624AE" w14:paraId="4C114211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6BC3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00EC0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BFB4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Maintain communication channels and maintain  vibration mitigation strategies and monitoring</w:t>
            </w:r>
          </w:p>
        </w:tc>
      </w:tr>
      <w:tr w:rsidR="00C624AE" w:rsidRPr="00C624AE" w14:paraId="2B583E52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72AC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C0AEC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E2CA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Complete stakeholder satisfaction surveys every 6 months and achieve at least a 60% rate for community satisfaction</w:t>
            </w:r>
          </w:p>
        </w:tc>
      </w:tr>
      <w:tr w:rsidR="00C624AE" w:rsidRPr="00C624AE" w14:paraId="60BD0A32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8895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3B032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2F93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Complete community perception surveys every 6 months and achieve at least a 50% rate for community sentiment</w:t>
            </w:r>
          </w:p>
        </w:tc>
      </w:tr>
      <w:tr w:rsidR="00C624AE" w:rsidRPr="00C624AE" w14:paraId="2DB32682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FA4D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B4984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3C38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Stakeholder input influences more than one (1) priority project negotiable (as defined in the CSEP)</w:t>
            </w:r>
          </w:p>
        </w:tc>
      </w:tr>
      <w:tr w:rsidR="00C624AE" w:rsidRPr="00C624AE" w14:paraId="0776898E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0DDC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59973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Operation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932B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Integrate lessons learned from stakeholder engagement completed during design and construction into the operations communication plan</w:t>
            </w:r>
          </w:p>
        </w:tc>
      </w:tr>
      <w:tr w:rsidR="00C624AE" w:rsidRPr="00C624AE" w14:paraId="70BE238F" w14:textId="77777777" w:rsidTr="00C624AE">
        <w:trPr>
          <w:trHeight w:val="30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B126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lang w:val="en-AU" w:eastAsia="en-AU"/>
              </w:rPr>
              <w:t>Improve outcomes for the Swan River and other key precincts through consultation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F139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Design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D932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Consult with key external stakeholders to identify opportunities</w:t>
            </w:r>
          </w:p>
        </w:tc>
      </w:tr>
      <w:tr w:rsidR="00C624AE" w:rsidRPr="00C624AE" w14:paraId="25287306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2154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8170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Construction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6B13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Maintain consultation channels with key external stakeholders during implementation of opportunities</w:t>
            </w:r>
          </w:p>
        </w:tc>
      </w:tr>
      <w:tr w:rsidR="00C624AE" w:rsidRPr="00C624AE" w14:paraId="123DCF88" w14:textId="77777777" w:rsidTr="00C624AE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6CB9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4A9E2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Operation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112E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Coordinate with key external stakeholders for maintenance of the implemented opportunities</w:t>
            </w:r>
          </w:p>
        </w:tc>
      </w:tr>
      <w:tr w:rsidR="00C624AE" w:rsidRPr="00C624AE" w14:paraId="4F06A1F5" w14:textId="77777777" w:rsidTr="00C624AE">
        <w:trPr>
          <w:trHeight w:val="57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4243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lang w:val="en-AU" w:eastAsia="en-AU"/>
              </w:rPr>
              <w:t xml:space="preserve">Effective decision making through collaboration with </w:t>
            </w:r>
            <w:proofErr w:type="spellStart"/>
            <w:r w:rsidRPr="00C624AE">
              <w:rPr>
                <w:rFonts w:ascii="Segoe UI" w:eastAsia="Times New Roman" w:hAnsi="Segoe UI" w:cs="Segoe UI"/>
                <w:color w:val="000000"/>
                <w:lang w:val="en-AU" w:eastAsia="en-AU"/>
              </w:rPr>
              <w:t>Metronet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EFF9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Design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0DB6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Complete monthly meetings with </w:t>
            </w:r>
            <w:proofErr w:type="spellStart"/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Metronet</w:t>
            </w:r>
            <w:proofErr w:type="spellEnd"/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 to establish progress and obtain feedback for </w:t>
            </w:r>
            <w:r w:rsidR="00FD19EA"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integration</w:t>
            </w: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 with the project</w:t>
            </w:r>
          </w:p>
        </w:tc>
      </w:tr>
      <w:tr w:rsidR="00C624AE" w:rsidRPr="00C624AE" w14:paraId="349D7D4F" w14:textId="77777777" w:rsidTr="00C624AE">
        <w:trPr>
          <w:trHeight w:val="57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1F9A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en-AU" w:eastAsia="en-A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417E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AU" w:eastAsia="en-AU"/>
              </w:rPr>
              <w:t>Construction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63DB" w14:textId="77777777" w:rsidR="00C624AE" w:rsidRPr="00C624AE" w:rsidRDefault="00C624AE" w:rsidP="00C624A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</w:pP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Complete bi-monthly meetings with </w:t>
            </w:r>
            <w:proofErr w:type="spellStart"/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Metronet</w:t>
            </w:r>
            <w:proofErr w:type="spellEnd"/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 to establish progress and obtain feedback for </w:t>
            </w:r>
            <w:r w:rsidR="00FD19EA"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>integration</w:t>
            </w:r>
            <w:r w:rsidRPr="00C624AE">
              <w:rPr>
                <w:rFonts w:ascii="Segoe UI" w:eastAsia="Times New Roman" w:hAnsi="Segoe UI" w:cs="Segoe UI"/>
                <w:sz w:val="20"/>
                <w:szCs w:val="20"/>
                <w:lang w:val="en-AU" w:eastAsia="en-AU"/>
              </w:rPr>
              <w:t xml:space="preserve"> with the project</w:t>
            </w:r>
          </w:p>
        </w:tc>
      </w:tr>
    </w:tbl>
    <w:p w14:paraId="18DD14BF" w14:textId="77777777" w:rsidR="00C624AE" w:rsidRPr="00C624AE" w:rsidRDefault="00C624AE" w:rsidP="00C624AE">
      <w:pPr>
        <w:rPr>
          <w:rFonts w:ascii="Arial" w:hAnsi="Arial" w:cs="Arial"/>
          <w:sz w:val="20"/>
          <w:szCs w:val="20"/>
          <w:lang w:val="en-AU"/>
        </w:rPr>
      </w:pPr>
    </w:p>
    <w:p w14:paraId="74719D14" w14:textId="77777777" w:rsidR="005A62A2" w:rsidRPr="00C624AE" w:rsidRDefault="00C624AE" w:rsidP="00C624AE">
      <w:pPr>
        <w:tabs>
          <w:tab w:val="left" w:pos="75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A62A2" w:rsidRPr="00C624AE" w:rsidSect="00C624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7B"/>
    <w:rsid w:val="0031757B"/>
    <w:rsid w:val="009D047F"/>
    <w:rsid w:val="00A3401B"/>
    <w:rsid w:val="00B00408"/>
    <w:rsid w:val="00B8293D"/>
    <w:rsid w:val="00C12312"/>
    <w:rsid w:val="00C624AE"/>
    <w:rsid w:val="00E3049D"/>
    <w:rsid w:val="00E67C4E"/>
    <w:rsid w:val="00FD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084F"/>
  <w15:chartTrackingRefBased/>
  <w15:docId w15:val="{F77D9A94-148D-4602-BB16-6657B1F1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E760F397634479A6CF0E65EF4AEC7" ma:contentTypeVersion="15" ma:contentTypeDescription="Create a new document." ma:contentTypeScope="" ma:versionID="1ddf039a81193fa0c46519d125b5115b">
  <xsd:schema xmlns:xsd="http://www.w3.org/2001/XMLSchema" xmlns:xs="http://www.w3.org/2001/XMLSchema" xmlns:p="http://schemas.microsoft.com/office/2006/metadata/properties" xmlns:ns1="http://schemas.microsoft.com/sharepoint/v3" xmlns:ns2="f1cb9114-6c57-4cbc-86be-7d11bcfcc1a4" xmlns:ns3="29bd5654-c808-4bb8-8ae0-b36a09766a87" targetNamespace="http://schemas.microsoft.com/office/2006/metadata/properties" ma:root="true" ma:fieldsID="d0abfb3d5402c8a79b2b9dab0e0e90e0" ns1:_="" ns2:_="" ns3:_="">
    <xsd:import namespace="http://schemas.microsoft.com/sharepoint/v3"/>
    <xsd:import namespace="f1cb9114-6c57-4cbc-86be-7d11bcfcc1a4"/>
    <xsd:import namespace="29bd5654-c808-4bb8-8ae0-b36a09766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b9114-6c57-4cbc-86be-7d11bcfcc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5654-c808-4bb8-8ae0-b36a09766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B1BC5-6730-4984-B8FC-E68CD24B5D6F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sharepoint/v3"/>
    <ds:schemaRef ds:uri="http://schemas.openxmlformats.org/package/2006/metadata/core-properties"/>
    <ds:schemaRef ds:uri="29bd5654-c808-4bb8-8ae0-b36a09766a87"/>
    <ds:schemaRef ds:uri="f1cb9114-6c57-4cbc-86be-7d11bcfcc1a4"/>
  </ds:schemaRefs>
</ds:datastoreItem>
</file>

<file path=customXml/itemProps2.xml><?xml version="1.0" encoding="utf-8"?>
<ds:datastoreItem xmlns:ds="http://schemas.openxmlformats.org/officeDocument/2006/customXml" ds:itemID="{14D0A61E-7D3A-4057-8EAC-0EDDBEF4B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cb9114-6c57-4cbc-86be-7d11bcfcc1a4"/>
    <ds:schemaRef ds:uri="29bd5654-c808-4bb8-8ae0-b36a09766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51530-9159-43FD-9A2E-56067954C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1438</Words>
  <Characters>8719</Characters>
  <Application>Microsoft Office Word</Application>
  <DocSecurity>0</DocSecurity>
  <Lines>348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GHD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Worthington</dc:creator>
  <cp:keywords/>
  <dc:description/>
  <cp:lastModifiedBy>Nikita Worthington</cp:lastModifiedBy>
  <cp:revision>2</cp:revision>
  <dcterms:created xsi:type="dcterms:W3CDTF">2021-06-04T00:49:00Z</dcterms:created>
  <dcterms:modified xsi:type="dcterms:W3CDTF">2021-06-04T00:49:00Z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0x010100FB1E760F397634479A6CF0E65EF4AEC7</vt:lpwstr>
  </property>
  <property fmtid="{D5CDD505-2E9C-101B-9397-08002B2CF9AE}" pid="3" name="WPCosting">
    <vt:filetime>2021-05-24T03:46:48Z</vt:filetime>
  </property>
</Properties>
</file>