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E180" w14:textId="77777777" w:rsidR="00C624AE" w:rsidRDefault="00C624AE">
      <w:pPr>
        <w:rPr>
          <w:rFonts w:ascii="Arial" w:hAnsi="Arial" w:cs="Arial"/>
          <w:sz w:val="20"/>
          <w:szCs w:val="20"/>
        </w:rPr>
      </w:pPr>
    </w:p>
    <w:p w14:paraId="2D51DE97" w14:textId="77777777" w:rsidR="00C624AE" w:rsidRPr="00C624AE" w:rsidRDefault="00C624AE" w:rsidP="00C624AE">
      <w:pPr>
        <w:rPr>
          <w:rFonts w:ascii="Arial" w:hAnsi="Arial" w:cs="Arial"/>
          <w:sz w:val="20"/>
          <w:szCs w:val="20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3380"/>
        <w:gridCol w:w="1840"/>
        <w:gridCol w:w="8700"/>
      </w:tblGrid>
      <w:tr w:rsidR="00C624AE" w:rsidRPr="00C624AE" w14:paraId="63541E56" w14:textId="77777777" w:rsidTr="00C624AE">
        <w:trPr>
          <w:trHeight w:val="810"/>
        </w:trPr>
        <w:tc>
          <w:tcPr>
            <w:tcW w:w="1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center"/>
            <w:hideMark/>
          </w:tcPr>
          <w:p w14:paraId="38D520B2" w14:textId="77777777" w:rsidR="00C624AE" w:rsidRPr="00C624AE" w:rsidRDefault="00C624AE" w:rsidP="00C62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56"/>
                <w:szCs w:val="56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b/>
                <w:bCs/>
                <w:color w:val="FFFFFF"/>
                <w:sz w:val="56"/>
                <w:szCs w:val="56"/>
                <w:lang w:val="en-AU" w:eastAsia="en-AU"/>
              </w:rPr>
              <w:t>Sustainability Targets</w:t>
            </w:r>
          </w:p>
        </w:tc>
      </w:tr>
      <w:tr w:rsidR="00C624AE" w:rsidRPr="00C624AE" w14:paraId="69A9F1CB" w14:textId="77777777" w:rsidTr="00C624AE">
        <w:trPr>
          <w:trHeight w:val="73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D1CA2A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3"/>
                <w:szCs w:val="23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b/>
                <w:bCs/>
                <w:color w:val="FFFFFF"/>
                <w:sz w:val="23"/>
                <w:szCs w:val="23"/>
                <w:lang w:val="en-AU" w:eastAsia="en-AU"/>
              </w:rPr>
              <w:t>Objectives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E97EF14" w14:textId="77777777" w:rsidR="00C624AE" w:rsidRPr="00C624AE" w:rsidRDefault="00C624AE" w:rsidP="00C62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3"/>
                <w:szCs w:val="23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b/>
                <w:bCs/>
                <w:color w:val="FFFFFF"/>
                <w:sz w:val="23"/>
                <w:szCs w:val="23"/>
                <w:lang w:val="en-AU" w:eastAsia="en-AU"/>
              </w:rPr>
              <w:t>Project Stage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5BB9E0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3"/>
                <w:szCs w:val="23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b/>
                <w:bCs/>
                <w:color w:val="FFFFFF"/>
                <w:sz w:val="23"/>
                <w:szCs w:val="23"/>
                <w:lang w:val="en-AU" w:eastAsia="en-AU"/>
              </w:rPr>
              <w:t>Target</w:t>
            </w:r>
          </w:p>
        </w:tc>
      </w:tr>
      <w:tr w:rsidR="00C624AE" w:rsidRPr="00C624AE" w14:paraId="2382CA02" w14:textId="77777777" w:rsidTr="00C624AE">
        <w:trPr>
          <w:trHeight w:val="600"/>
        </w:trPr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14:paraId="37ADD9A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b/>
                <w:bCs/>
                <w:color w:val="FFFFFF"/>
                <w:sz w:val="28"/>
                <w:szCs w:val="28"/>
                <w:lang w:val="en-AU" w:eastAsia="en-AU"/>
              </w:rPr>
              <w:t>Focus Area: Enhanced Urban Design and Placemaking</w:t>
            </w:r>
          </w:p>
        </w:tc>
      </w:tr>
      <w:tr w:rsidR="00C624AE" w:rsidRPr="00C624AE" w14:paraId="5D7462D1" w14:textId="77777777" w:rsidTr="00C624A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845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Enhance the Swan River Crossing and surrounding area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FB9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9F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opportunities to enhance the Swan River precinct identified in consultation with key external stakeholders</w:t>
            </w:r>
          </w:p>
        </w:tc>
      </w:tr>
      <w:tr w:rsidR="00C624AE" w:rsidRPr="00C624AE" w14:paraId="317AD27F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DB3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DCE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47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Implement at least two (2) opportunities to enhance the Swan River precinct identified during consultation with key external stakeholders</w:t>
            </w:r>
          </w:p>
        </w:tc>
      </w:tr>
      <w:tr w:rsidR="00C624AE" w:rsidRPr="00C624AE" w14:paraId="6C633A10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1B3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047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FEA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the implemented Swan River precinct enhancement opportunities</w:t>
            </w:r>
          </w:p>
        </w:tc>
      </w:tr>
      <w:tr w:rsidR="00C624AE" w:rsidRPr="00C624AE" w14:paraId="73470A07" w14:textId="77777777" w:rsidTr="00C624A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592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 xml:space="preserve">Maximise connectivity for </w:t>
            </w:r>
            <w:proofErr w:type="spellStart"/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multi mode</w:t>
            </w:r>
            <w:proofErr w:type="spellEnd"/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 xml:space="preserve"> transport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B87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30E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the needs of all users and transport modes to identify opportunities to improve user connectivity and adopt at least one (1) per mode of transport</w:t>
            </w:r>
          </w:p>
        </w:tc>
      </w:tr>
      <w:tr w:rsidR="00C624AE" w:rsidRPr="00C624AE" w14:paraId="33E0B5B9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9A2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2A9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03E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Implement at least one (1) opportunity to improve user connectivity for each mode of transport identified for the project</w:t>
            </w:r>
          </w:p>
        </w:tc>
      </w:tr>
      <w:tr w:rsidR="00C624AE" w:rsidRPr="00C624AE" w14:paraId="340E60F6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36E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F457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ED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the implemented user connectivity transport opportunities</w:t>
            </w:r>
          </w:p>
        </w:tc>
      </w:tr>
      <w:tr w:rsidR="00C624AE" w:rsidRPr="00C624AE" w14:paraId="22DD034E" w14:textId="77777777" w:rsidTr="00C624AE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7DF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Preserve and enhance ecological values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E98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015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at least one (1) environmental enhancement opportunity</w:t>
            </w:r>
          </w:p>
        </w:tc>
      </w:tr>
      <w:tr w:rsidR="00C624AE" w:rsidRPr="00C624AE" w14:paraId="72754CAA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909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C99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E85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Implement at least one (1) environmental enhancement opportunity, with a stretch target for two (2) opportunities</w:t>
            </w:r>
          </w:p>
        </w:tc>
      </w:tr>
      <w:tr w:rsidR="00C624AE" w:rsidRPr="00C624AE" w14:paraId="73A2D4DF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12E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757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333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the implemented environmental enhancement opportunity(</w:t>
            </w:r>
            <w:proofErr w:type="spellStart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ies</w:t>
            </w:r>
            <w:proofErr w:type="spellEnd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)</w:t>
            </w:r>
          </w:p>
        </w:tc>
      </w:tr>
      <w:tr w:rsidR="00C624AE" w:rsidRPr="00C624AE" w14:paraId="2546B30D" w14:textId="77777777" w:rsidTr="00C624AE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58C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Preserve and enhance heritage values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E95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CCB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at least one (1) heritage enhancement opportunity and adopt one (1) opportunity</w:t>
            </w:r>
          </w:p>
        </w:tc>
      </w:tr>
      <w:tr w:rsidR="00C624AE" w:rsidRPr="00C624AE" w14:paraId="7A999E1C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B05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09C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05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Implement at least one (1) adopted heritage enhancement opportunity/project</w:t>
            </w:r>
          </w:p>
        </w:tc>
      </w:tr>
      <w:tr w:rsidR="00C624AE" w:rsidRPr="00C624AE" w14:paraId="74E06886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8FF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7B1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9C7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the heritage environmental enhancement opportunity/project</w:t>
            </w:r>
          </w:p>
        </w:tc>
      </w:tr>
      <w:tr w:rsidR="00C624AE" w:rsidRPr="00C624AE" w14:paraId="67166801" w14:textId="77777777" w:rsidTr="00C624AE">
        <w:trPr>
          <w:trHeight w:val="405"/>
        </w:trPr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14:paraId="6016D5D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b/>
                <w:bCs/>
                <w:color w:val="FFFFFF"/>
                <w:sz w:val="28"/>
                <w:szCs w:val="28"/>
                <w:lang w:val="en-AU" w:eastAsia="en-AU"/>
              </w:rPr>
              <w:t>Focus Area: Management and Mitigation of Impacts to Water</w:t>
            </w:r>
          </w:p>
        </w:tc>
      </w:tr>
      <w:tr w:rsidR="00C624AE" w:rsidRPr="00C624AE" w14:paraId="116CB08C" w14:textId="77777777" w:rsidTr="00C624A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D277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 xml:space="preserve">Optimise the design and groundwater interface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12D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CB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opportunities for minimising the risk and challenges of the design and groundwater interface and adopt at least three (3) opportunities</w:t>
            </w:r>
          </w:p>
        </w:tc>
      </w:tr>
      <w:tr w:rsidR="00C624AE" w:rsidRPr="00C624AE" w14:paraId="208DDEE0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AE7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1F1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4AE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Implement the three (3) adopted mitigation strategies for minimising the risk and challenges of the design and groundwater interface  identified during design</w:t>
            </w:r>
          </w:p>
        </w:tc>
      </w:tr>
      <w:tr w:rsidR="00C624AE" w:rsidRPr="00C624AE" w14:paraId="4D87CECC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0D3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E38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BFE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Maintain the implemented mitigation strategies for minimising the risk and challenges of the design and groundwater interface </w:t>
            </w:r>
          </w:p>
        </w:tc>
      </w:tr>
      <w:tr w:rsidR="00C624AE" w:rsidRPr="00C624AE" w14:paraId="6B0AC5A3" w14:textId="77777777" w:rsidTr="00C624A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50E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 xml:space="preserve">Minimising the impacts of groundwater contamination and acid </w:t>
            </w:r>
            <w:proofErr w:type="spellStart"/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sulfate</w:t>
            </w:r>
            <w:proofErr w:type="spellEnd"/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 xml:space="preserve"> soils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CEBF1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5F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Optimise the design to minimise disturbance of acid </w:t>
            </w:r>
            <w:proofErr w:type="spellStart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sulfate</w:t>
            </w:r>
            <w:proofErr w:type="spellEnd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 soils and groundwater/soil contamination</w:t>
            </w:r>
          </w:p>
        </w:tc>
      </w:tr>
      <w:tr w:rsidR="00C624AE" w:rsidRPr="00C624AE" w14:paraId="78DA9BA9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00A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1F5CB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67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Prepare an Acid </w:t>
            </w:r>
            <w:proofErr w:type="spellStart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Sulfate</w:t>
            </w:r>
            <w:proofErr w:type="spellEnd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 Soils Management Plan (ASSMP) with the aim to meeting the </w:t>
            </w:r>
            <w:r w:rsidRPr="00C624A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en-AU" w:eastAsia="en-AU"/>
              </w:rPr>
              <w:t xml:space="preserve">Treatment and management of soil and water in Acid </w:t>
            </w:r>
            <w:proofErr w:type="spellStart"/>
            <w:r w:rsidRPr="00C624A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en-AU" w:eastAsia="en-AU"/>
              </w:rPr>
              <w:t>Sulfate</w:t>
            </w:r>
            <w:proofErr w:type="spellEnd"/>
            <w:r w:rsidRPr="00C624A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en-AU" w:eastAsia="en-AU"/>
              </w:rPr>
              <w:t xml:space="preserve"> Soil landscapes </w:t>
            </w: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guidelines</w:t>
            </w:r>
            <w:r w:rsidRPr="00C624A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(DWER 2015)</w:t>
            </w:r>
          </w:p>
        </w:tc>
      </w:tr>
      <w:tr w:rsidR="00C624AE" w:rsidRPr="00C624AE" w14:paraId="7AFAEF9C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ACB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F8A7F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C30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Prepare a Site Contamination Management Plan (SCMP) with the aim to meeting the </w:t>
            </w:r>
            <w:r w:rsidRPr="00C624A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en-AU" w:eastAsia="en-AU"/>
              </w:rPr>
              <w:t xml:space="preserve">Contaminated Sites Guidelines </w:t>
            </w: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(DWER 2014). </w:t>
            </w:r>
          </w:p>
        </w:tc>
      </w:tr>
      <w:tr w:rsidR="00C624AE" w:rsidRPr="00C624AE" w14:paraId="4EBF18AF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9B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200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CB1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Implement the prepared ASSMP</w:t>
            </w:r>
          </w:p>
        </w:tc>
      </w:tr>
      <w:tr w:rsidR="00C624AE" w:rsidRPr="00C624AE" w14:paraId="2343E11E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C31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1F19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F65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Implement the prepared SCMP</w:t>
            </w:r>
          </w:p>
        </w:tc>
      </w:tr>
      <w:tr w:rsidR="00C624AE" w:rsidRPr="00C624AE" w14:paraId="3DB26219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07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8E6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32E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management strategies implemented during construction as per the ASSMP and SCMP</w:t>
            </w:r>
          </w:p>
        </w:tc>
      </w:tr>
      <w:tr w:rsidR="00C624AE" w:rsidRPr="00C624AE" w14:paraId="367E004B" w14:textId="77777777" w:rsidTr="00C624A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352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Minimise impacts and improve discharge quality to surface water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9587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2CE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methods and management measures to minimise unplanned or unexpected impacts on the Swan River water quality or use</w:t>
            </w:r>
          </w:p>
        </w:tc>
      </w:tr>
      <w:tr w:rsidR="00C624AE" w:rsidRPr="00C624AE" w14:paraId="21337276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127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40A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5E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Implement the identified methods and management measures to minimise impacts on the Swan River water quality or use</w:t>
            </w:r>
          </w:p>
        </w:tc>
      </w:tr>
      <w:tr w:rsidR="00C624AE" w:rsidRPr="00C624AE" w14:paraId="7A7BFAFA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D8C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482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9FD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Achieve no more than two (2) Class 2 incidents and zero (0) Class 1 incidents, as defined by the TGA Environmental Management Plan</w:t>
            </w:r>
          </w:p>
        </w:tc>
      </w:tr>
      <w:tr w:rsidR="00C624AE" w:rsidRPr="00C624AE" w14:paraId="445B4FA8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31F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0E4C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A2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Implement monitoring of the Swan River and achieve the water quality criteria as specified in the management plan approved under the </w:t>
            </w:r>
            <w:r w:rsidRPr="00C624AE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val="en-AU" w:eastAsia="en-AU"/>
              </w:rPr>
              <w:t>Swan and Canning Rivers Management Act 2006</w:t>
            </w: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. </w:t>
            </w:r>
          </w:p>
        </w:tc>
      </w:tr>
      <w:tr w:rsidR="00C624AE" w:rsidRPr="00C624AE" w14:paraId="1853542F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C56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1DC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D32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the implemented management measures to minimise impacts to the water quality of the Swan River</w:t>
            </w:r>
          </w:p>
        </w:tc>
      </w:tr>
      <w:tr w:rsidR="00C624AE" w:rsidRPr="00C624AE" w14:paraId="2CCD0C0C" w14:textId="77777777" w:rsidTr="00C624AE">
        <w:trPr>
          <w:trHeight w:val="405"/>
        </w:trPr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14:paraId="4FD1559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b/>
                <w:bCs/>
                <w:color w:val="FFFFFF"/>
                <w:sz w:val="28"/>
                <w:szCs w:val="28"/>
                <w:lang w:val="en-AU" w:eastAsia="en-AU"/>
              </w:rPr>
              <w:t>Focus Area: Efficient Resource Use and Sourcing</w:t>
            </w:r>
          </w:p>
        </w:tc>
      </w:tr>
      <w:tr w:rsidR="00C624AE" w:rsidRPr="00C624AE" w14:paraId="4D427FC6" w14:textId="77777777" w:rsidTr="00C624A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F6C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Optimise material selection and quantity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43D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E8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opportunities to reduce the use of material and adopt at least two (2), with a stretch target for four (4) opportunities for material reduction/use of recycled products</w:t>
            </w:r>
          </w:p>
        </w:tc>
      </w:tr>
      <w:tr w:rsidR="00C624AE" w:rsidRPr="00C624AE" w14:paraId="25B36C48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BF4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B87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7C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Achieve at least a 5% reduction in materials used on the project as measured by the IS Materials Calculator (i.e. based on environmental impacts)</w:t>
            </w:r>
          </w:p>
        </w:tc>
      </w:tr>
      <w:tr w:rsidR="00C624AE" w:rsidRPr="00C624AE" w14:paraId="7293353C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BD3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475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C1F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Minimise use of virgin materials during maintenance</w:t>
            </w:r>
          </w:p>
        </w:tc>
      </w:tr>
      <w:tr w:rsidR="00C624AE" w:rsidRPr="00C624AE" w14:paraId="5335621D" w14:textId="77777777" w:rsidTr="00C624AE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3F9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Reduce energy requirements and emissions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B3B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32D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energy efficiency opportunities and implement at least three (3)</w:t>
            </w:r>
          </w:p>
        </w:tc>
      </w:tr>
      <w:tr w:rsidR="00C624AE" w:rsidRPr="00C624AE" w14:paraId="5FFE7FF2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C8D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36A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736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Achieve at least a 5% reduction in energy used or emissions (Scope 1 and 2) created during project lifetime (construction and operation)</w:t>
            </w:r>
          </w:p>
        </w:tc>
      </w:tr>
      <w:tr w:rsidR="00C624AE" w:rsidRPr="00C624AE" w14:paraId="1A46D1E6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3EB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6147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B65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the asset to ensure that electrical equipment runs efficiently</w:t>
            </w:r>
          </w:p>
        </w:tc>
      </w:tr>
      <w:tr w:rsidR="00C624AE" w:rsidRPr="00C624AE" w14:paraId="5D34CF50" w14:textId="77777777" w:rsidTr="00C624AE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1C4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Reduce water requirements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953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E6E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opportunities to improve water efficiency and adopt at least three (3)</w:t>
            </w:r>
          </w:p>
        </w:tc>
      </w:tr>
      <w:tr w:rsidR="00C624AE" w:rsidRPr="00C624AE" w14:paraId="18C16EE2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195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D9F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13B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Achieve at least a 5% reduction in total water used on the project (construction and operation)</w:t>
            </w:r>
          </w:p>
        </w:tc>
      </w:tr>
      <w:tr w:rsidR="00C624AE" w:rsidRPr="00C624AE" w14:paraId="3A466C84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A34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9A9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FA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the asset to ensure that water consuming equipment and processes operate efficiently</w:t>
            </w:r>
          </w:p>
        </w:tc>
      </w:tr>
      <w:tr w:rsidR="00C624AE" w:rsidRPr="00C624AE" w14:paraId="72CCE618" w14:textId="77777777" w:rsidTr="00C624A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10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Reduce waste and maximise onsite reuse and recycling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DC6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ED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waste minimisation and recycling opportunities on the project and adopt at least three (3)</w:t>
            </w:r>
          </w:p>
        </w:tc>
      </w:tr>
      <w:tr w:rsidR="00C624AE" w:rsidRPr="00C624AE" w14:paraId="41529906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09B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EFE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E6A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Divert at least 85% of clean/inert excavation spoil from landfill and reuse at least 50% onsite</w:t>
            </w:r>
          </w:p>
        </w:tc>
      </w:tr>
      <w:tr w:rsidR="00C624AE" w:rsidRPr="00C624AE" w14:paraId="22E9D31D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53FB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B1737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85D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Divert at least 60% of office resource outputs from landfill</w:t>
            </w:r>
          </w:p>
        </w:tc>
      </w:tr>
      <w:tr w:rsidR="00C624AE" w:rsidRPr="00C624AE" w14:paraId="517E9B78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4CDF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1D3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A0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Divert at least 70% of other inert resource outputs from landfill</w:t>
            </w:r>
          </w:p>
        </w:tc>
      </w:tr>
      <w:tr w:rsidR="00C624AE" w:rsidRPr="00C624AE" w14:paraId="11195EA8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F39A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036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2A1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Re-use/retain at least 65% of contaminated soil on site, and dispose of not greater than 10% to landfill</w:t>
            </w:r>
          </w:p>
        </w:tc>
      </w:tr>
      <w:tr w:rsidR="00C624AE" w:rsidRPr="00C624AE" w14:paraId="44F43032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080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CF84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E8C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Re-use/retain at least 50% of acid </w:t>
            </w:r>
            <w:proofErr w:type="spellStart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sulfate</w:t>
            </w:r>
            <w:proofErr w:type="spellEnd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 soils on site, and dispose of not greater than 15% to landfill</w:t>
            </w:r>
          </w:p>
        </w:tc>
      </w:tr>
      <w:tr w:rsidR="00C624AE" w:rsidRPr="00C624AE" w14:paraId="0AD15689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C03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AD7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4E0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Divert at least 85% of clean/inert excavation spoil from landfill</w:t>
            </w:r>
          </w:p>
        </w:tc>
      </w:tr>
      <w:tr w:rsidR="00C624AE" w:rsidRPr="00C624AE" w14:paraId="1AF7A47D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1802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DABA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047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Divert at least 60% of office resource outputs from landfill</w:t>
            </w:r>
          </w:p>
        </w:tc>
      </w:tr>
      <w:tr w:rsidR="00C624AE" w:rsidRPr="00C624AE" w14:paraId="594BB593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E0A1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583B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1D9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Divert at least 85% of other inert resource outputs from landfill</w:t>
            </w:r>
          </w:p>
        </w:tc>
      </w:tr>
      <w:tr w:rsidR="00C624AE" w:rsidRPr="00C624AE" w14:paraId="2BDC2704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1A25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D61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1F7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Re-use/retain at least 50% of acid </w:t>
            </w:r>
            <w:proofErr w:type="spellStart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sulfate</w:t>
            </w:r>
            <w:proofErr w:type="spellEnd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 soils on sit, and dispose of not greater than 15% to landfill</w:t>
            </w:r>
          </w:p>
        </w:tc>
      </w:tr>
      <w:tr w:rsidR="00C624AE" w:rsidRPr="00C624AE" w14:paraId="25B34B91" w14:textId="77777777" w:rsidTr="00C624A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8CA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Integration of offsite recycled products and materials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F34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07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opportunities to replace the use of virgin materials and adopt at least two (2), with a stretch target for four (4) opportunities</w:t>
            </w:r>
          </w:p>
        </w:tc>
      </w:tr>
      <w:tr w:rsidR="00C624AE" w:rsidRPr="00C624AE" w14:paraId="6C59405E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C2F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FD3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9A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Implement at least two (2) opportunities, with a stretch target for four (4) opportunities</w:t>
            </w:r>
          </w:p>
        </w:tc>
      </w:tr>
      <w:tr w:rsidR="00C624AE" w:rsidRPr="00C624AE" w14:paraId="4BE7935E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43E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6C4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A4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Maximise use of recycled products or materials during maintenance</w:t>
            </w:r>
          </w:p>
        </w:tc>
      </w:tr>
      <w:tr w:rsidR="00C624AE" w:rsidRPr="00C624AE" w14:paraId="32198AB6" w14:textId="77777777" w:rsidTr="00C624AE">
        <w:trPr>
          <w:trHeight w:val="405"/>
        </w:trPr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14:paraId="0E0D5F9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b/>
                <w:bCs/>
                <w:color w:val="FFFFFF"/>
                <w:sz w:val="28"/>
                <w:szCs w:val="28"/>
                <w:lang w:val="en-AU" w:eastAsia="en-AU"/>
              </w:rPr>
              <w:t>Focus Area: Industry Prosperity</w:t>
            </w:r>
          </w:p>
        </w:tc>
      </w:tr>
      <w:tr w:rsidR="00C624AE" w:rsidRPr="00C624AE" w14:paraId="0E7D5779" w14:textId="77777777" w:rsidTr="00C624AE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33F3" w14:textId="77777777" w:rsidR="00C624AE" w:rsidRPr="00C624AE" w:rsidRDefault="00C624AE" w:rsidP="00C62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Improve workforce diversity and wellbeing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9DD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DDB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Achieve 4 on the cultural and wellness survey of team cohesion</w:t>
            </w:r>
          </w:p>
        </w:tc>
      </w:tr>
      <w:tr w:rsidR="00C624AE" w:rsidRPr="00C624AE" w14:paraId="61A6C0C1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168B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1151" w14:textId="77777777" w:rsidR="00C624AE" w:rsidRPr="00C624AE" w:rsidRDefault="00C624AE" w:rsidP="00C624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C5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Achieve 4 on the cultural and wellness survey of team cohesion</w:t>
            </w:r>
          </w:p>
        </w:tc>
      </w:tr>
      <w:tr w:rsidR="00C624AE" w:rsidRPr="00C624AE" w14:paraId="48285757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853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BF49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A8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Attract and retain at least 10% of new entrants into the workforce (new employees with less than 5 years' experience)</w:t>
            </w:r>
          </w:p>
        </w:tc>
      </w:tr>
      <w:tr w:rsidR="00C624AE" w:rsidRPr="00C624AE" w14:paraId="73B5B530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6D3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8AD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DB8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Achieve at least 10% of the workforce representing women</w:t>
            </w:r>
          </w:p>
        </w:tc>
      </w:tr>
      <w:tr w:rsidR="00C624AE" w:rsidRPr="00C624AE" w14:paraId="3337C856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E8E7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A02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DB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Fundraise for 1 event supporting people living with disabilities such as City to Surf for </w:t>
            </w:r>
            <w:proofErr w:type="spellStart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Activ</w:t>
            </w:r>
            <w:proofErr w:type="spellEnd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 (host a team etc.) </w:t>
            </w:r>
          </w:p>
        </w:tc>
      </w:tr>
      <w:tr w:rsidR="00C624AE" w:rsidRPr="00C624AE" w14:paraId="440A80E1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D54D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BE45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92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Celebrate 1 event during Pride Month or throughout the year</w:t>
            </w:r>
          </w:p>
        </w:tc>
      </w:tr>
      <w:tr w:rsidR="00C624AE" w:rsidRPr="00C624AE" w14:paraId="62D7A1B8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22A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18EF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ED2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Develop a Flexible Working Arrangements Policy</w:t>
            </w:r>
          </w:p>
        </w:tc>
      </w:tr>
      <w:tr w:rsidR="00C624AE" w:rsidRPr="00C624AE" w14:paraId="723F4D03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404A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81B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2E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engagement through the Infrastructure Ready Program</w:t>
            </w:r>
          </w:p>
        </w:tc>
      </w:tr>
      <w:tr w:rsidR="00C624AE" w:rsidRPr="00C624AE" w14:paraId="7B10FB6E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A5C6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7E66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21D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Celebrate 1 event for Harmony Week  </w:t>
            </w:r>
          </w:p>
        </w:tc>
      </w:tr>
      <w:tr w:rsidR="00C624AE" w:rsidRPr="00C624AE" w14:paraId="1F66E25D" w14:textId="77777777" w:rsidTr="00C624AE">
        <w:trPr>
          <w:trHeight w:val="33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AA71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02F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7CA1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Achieve at least 10% of the workforce representing women in non-traditional roles</w:t>
            </w:r>
          </w:p>
        </w:tc>
      </w:tr>
      <w:tr w:rsidR="00C624AE" w:rsidRPr="00C624AE" w14:paraId="1DE87429" w14:textId="77777777" w:rsidTr="00C624AE">
        <w:trPr>
          <w:trHeight w:val="8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D44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Develop capability and capacity in small subcontractors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FD5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9E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Prepare at least three discrete packages of work to enable to WA Limestone to </w:t>
            </w:r>
            <w:r w:rsidR="00FD19EA"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achieve</w:t>
            </w: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 Main Roads prequalification level R2, and two other small subcontractors have intent to submit for B1/R1. </w:t>
            </w:r>
          </w:p>
        </w:tc>
      </w:tr>
      <w:tr w:rsidR="00C624AE" w:rsidRPr="00C624AE" w14:paraId="4C34A02A" w14:textId="77777777" w:rsidTr="00C624A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0DA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Increase Aboriginal participation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9C4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634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Investigate and establish business baseline for engaging Aboriginal businesses during construction</w:t>
            </w:r>
          </w:p>
        </w:tc>
      </w:tr>
      <w:tr w:rsidR="00C624AE" w:rsidRPr="00C624AE" w14:paraId="125D7E58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516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0C8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89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Engage at least 30 FTEs for the entire project duration</w:t>
            </w:r>
          </w:p>
        </w:tc>
      </w:tr>
      <w:tr w:rsidR="00C624AE" w:rsidRPr="00C624AE" w14:paraId="129856D9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BFA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825C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10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Award at least $10M of contracts to Aboriginal businesses</w:t>
            </w:r>
          </w:p>
        </w:tc>
      </w:tr>
      <w:tr w:rsidR="00C624AE" w:rsidRPr="00C624AE" w14:paraId="1281F2D1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87F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5E7D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624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Provide at least 1 mentor to Aboriginal employees for project duration</w:t>
            </w:r>
          </w:p>
        </w:tc>
      </w:tr>
      <w:tr w:rsidR="00C624AE" w:rsidRPr="00C624AE" w14:paraId="41C509EC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ECE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A385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E95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Establish a Project Working Group and implement at least two (2) initiatives</w:t>
            </w:r>
          </w:p>
        </w:tc>
      </w:tr>
      <w:tr w:rsidR="00C624AE" w:rsidRPr="00C624AE" w14:paraId="199B4F65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6F9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89B7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43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An Aboriginal Coordinator was appointed for the project and was available for at least 20%-30% of the project</w:t>
            </w:r>
          </w:p>
        </w:tc>
      </w:tr>
      <w:tr w:rsidR="00C624AE" w:rsidRPr="00C624AE" w14:paraId="4E78C6A3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9CD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064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C7F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Achieve and maintain at least 4% of the permanent workforce with Aboriginal employees</w:t>
            </w:r>
          </w:p>
        </w:tc>
      </w:tr>
      <w:tr w:rsidR="00C624AE" w:rsidRPr="00C624AE" w14:paraId="0358926A" w14:textId="77777777" w:rsidTr="00C624AE">
        <w:trPr>
          <w:trHeight w:val="405"/>
        </w:trPr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14:paraId="0A6943B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b/>
                <w:bCs/>
                <w:color w:val="FFFFFF"/>
                <w:sz w:val="28"/>
                <w:szCs w:val="28"/>
                <w:lang w:val="en-AU" w:eastAsia="en-AU"/>
              </w:rPr>
              <w:t>Focus Area: Consultation and Partnership</w:t>
            </w:r>
          </w:p>
        </w:tc>
      </w:tr>
      <w:tr w:rsidR="00C624AE" w:rsidRPr="00C624AE" w14:paraId="4F8794A1" w14:textId="77777777" w:rsidTr="00C624A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9D6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 xml:space="preserve">Effective community engagement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9C9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257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Communicate to external stakeholders and the community the proposed dust mitigation strategies and monitoring</w:t>
            </w:r>
          </w:p>
        </w:tc>
      </w:tr>
      <w:tr w:rsidR="00C624AE" w:rsidRPr="00C624AE" w14:paraId="477562F7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B4E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149F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AED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Communicate to external stakeholders and the community the proposed noise mitigation strategies and monitoring</w:t>
            </w:r>
          </w:p>
        </w:tc>
      </w:tr>
      <w:tr w:rsidR="00C624AE" w:rsidRPr="00C624AE" w14:paraId="160F517E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6BC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A20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47B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Communicate to external stakeholders and the community the proposed vibration mitigation strategies and monitoring</w:t>
            </w:r>
          </w:p>
        </w:tc>
      </w:tr>
      <w:tr w:rsidR="00C624AE" w:rsidRPr="00C624AE" w14:paraId="70B3405C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FFD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5271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549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Complete stakeholder satisfaction surveys every 6 months and achieve at least a 60% rate for community satisfaction</w:t>
            </w:r>
          </w:p>
        </w:tc>
      </w:tr>
      <w:tr w:rsidR="00C624AE" w:rsidRPr="00C624AE" w14:paraId="33E0E928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F92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AAD5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1B6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Complete community perception surveys every 6 months and achieve at least a 50% rate for community sentiment</w:t>
            </w:r>
          </w:p>
        </w:tc>
      </w:tr>
      <w:tr w:rsidR="00C624AE" w:rsidRPr="00C624AE" w14:paraId="2CF42B58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851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789D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BA3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Identify and implement targeted stakeholder engagement activities</w:t>
            </w:r>
          </w:p>
        </w:tc>
      </w:tr>
      <w:tr w:rsidR="00C624AE" w:rsidRPr="00C624AE" w14:paraId="6666AA8E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8957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952F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305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Stakeholder input influences more than one (1) priority project negotiable (as defined in the CSEP)</w:t>
            </w:r>
          </w:p>
        </w:tc>
      </w:tr>
      <w:tr w:rsidR="00C624AE" w:rsidRPr="00C624AE" w14:paraId="485A0B0D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F197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E5D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3C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communication channels and maintain dust mitigation strategies and monitoring</w:t>
            </w:r>
          </w:p>
        </w:tc>
      </w:tr>
      <w:tr w:rsidR="00C624AE" w:rsidRPr="00C624AE" w14:paraId="522122D0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D66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F23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AB1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communication channels and maintain  noise mitigation strategies and monitoring</w:t>
            </w:r>
          </w:p>
        </w:tc>
      </w:tr>
      <w:tr w:rsidR="00C624AE" w:rsidRPr="00C624AE" w14:paraId="4C114211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6BC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0EC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FB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communication channels and maintain  vibration mitigation strategies and monitoring</w:t>
            </w:r>
          </w:p>
        </w:tc>
      </w:tr>
      <w:tr w:rsidR="00C624AE" w:rsidRPr="00C624AE" w14:paraId="2B583E52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72A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0AE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2C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Complete stakeholder satisfaction surveys every 6 months and achieve at least a 60% rate for community satisfaction</w:t>
            </w:r>
          </w:p>
        </w:tc>
      </w:tr>
      <w:tr w:rsidR="00C624AE" w:rsidRPr="00C624AE" w14:paraId="60BD0A32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8895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B03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F9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Complete community perception surveys every 6 months and achieve at least a 50% rate for community sentiment</w:t>
            </w:r>
          </w:p>
        </w:tc>
      </w:tr>
      <w:tr w:rsidR="00C624AE" w:rsidRPr="00C624AE" w14:paraId="2DB32682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FA4D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B498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3C38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Stakeholder input influences more than one (1) priority project negotiable (as defined in the CSEP)</w:t>
            </w:r>
          </w:p>
        </w:tc>
      </w:tr>
      <w:tr w:rsidR="00C624AE" w:rsidRPr="00C624AE" w14:paraId="0776898E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0DDC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997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932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Integrate lessons learned from stakeholder engagement completed during design and construction into the operations communication plan</w:t>
            </w:r>
          </w:p>
        </w:tc>
      </w:tr>
      <w:tr w:rsidR="00C624AE" w:rsidRPr="00C624AE" w14:paraId="70BE238F" w14:textId="77777777" w:rsidTr="00C624AE">
        <w:trPr>
          <w:trHeight w:val="30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B12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Improve outcomes for the Swan River and other key precincts through consultation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F13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D93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Consult with key external stakeholders to identify opportunities</w:t>
            </w:r>
          </w:p>
        </w:tc>
      </w:tr>
      <w:tr w:rsidR="00C624AE" w:rsidRPr="00C624AE" w14:paraId="25287306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2154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8170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6B1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Maintain consultation channels with key external stakeholders during implementation of opportunities</w:t>
            </w:r>
          </w:p>
        </w:tc>
      </w:tr>
      <w:tr w:rsidR="00C624AE" w:rsidRPr="00C624AE" w14:paraId="123DCF88" w14:textId="77777777" w:rsidTr="00C624A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6CB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A9E2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Operation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112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Coordinate with key external stakeholders for maintenance of the implemented opportunities</w:t>
            </w:r>
          </w:p>
        </w:tc>
      </w:tr>
      <w:tr w:rsidR="00C624AE" w:rsidRPr="00C624AE" w14:paraId="4F06A1F5" w14:textId="77777777" w:rsidTr="00C624A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4243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 xml:space="preserve">Effective decision making through collaboration with </w:t>
            </w:r>
            <w:proofErr w:type="spellStart"/>
            <w:r w:rsidRPr="00C624AE">
              <w:rPr>
                <w:rFonts w:ascii="Segoe UI" w:eastAsia="Times New Roman" w:hAnsi="Segoe UI" w:cs="Segoe UI"/>
                <w:color w:val="000000"/>
                <w:lang w:val="en-AU" w:eastAsia="en-AU"/>
              </w:rPr>
              <w:t>Metronet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EFF9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Design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0DB6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Complete monthly meetings with </w:t>
            </w:r>
            <w:proofErr w:type="spellStart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Metronet</w:t>
            </w:r>
            <w:proofErr w:type="spellEnd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 to establish progress and obtain feedback for </w:t>
            </w:r>
            <w:r w:rsidR="00FD19EA"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integration</w:t>
            </w: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 with the project</w:t>
            </w:r>
          </w:p>
        </w:tc>
      </w:tr>
      <w:tr w:rsidR="00C624AE" w:rsidRPr="00C624AE" w14:paraId="349D7D4F" w14:textId="77777777" w:rsidTr="00C624AE">
        <w:trPr>
          <w:trHeight w:val="57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1F9A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AU"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417E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AU" w:eastAsia="en-AU"/>
              </w:rPr>
              <w:t>Construction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63DB" w14:textId="77777777" w:rsidR="00C624AE" w:rsidRPr="00C624AE" w:rsidRDefault="00C624AE" w:rsidP="00C624AE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</w:pP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Complete bi-monthly meetings with </w:t>
            </w:r>
            <w:proofErr w:type="spellStart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Metronet</w:t>
            </w:r>
            <w:proofErr w:type="spellEnd"/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 to establish progress and obtain feedback for </w:t>
            </w:r>
            <w:r w:rsidR="00FD19EA"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>integration</w:t>
            </w:r>
            <w:r w:rsidRPr="00C624AE">
              <w:rPr>
                <w:rFonts w:ascii="Segoe UI" w:eastAsia="Times New Roman" w:hAnsi="Segoe UI" w:cs="Segoe UI"/>
                <w:sz w:val="20"/>
                <w:szCs w:val="20"/>
                <w:lang w:val="en-AU" w:eastAsia="en-AU"/>
              </w:rPr>
              <w:t xml:space="preserve"> with the project</w:t>
            </w:r>
          </w:p>
        </w:tc>
      </w:tr>
    </w:tbl>
    <w:p w14:paraId="18DD14BF" w14:textId="77777777" w:rsidR="00C624AE" w:rsidRPr="00C624AE" w:rsidRDefault="00C624AE" w:rsidP="00C624AE">
      <w:pPr>
        <w:rPr>
          <w:rFonts w:ascii="Arial" w:hAnsi="Arial" w:cs="Arial"/>
          <w:sz w:val="20"/>
          <w:szCs w:val="20"/>
          <w:lang w:val="en-AU"/>
        </w:rPr>
      </w:pPr>
    </w:p>
    <w:p w14:paraId="74719D14" w14:textId="77777777" w:rsidR="005A62A2" w:rsidRPr="00C624AE" w:rsidRDefault="00C624AE" w:rsidP="00C624AE">
      <w:pPr>
        <w:tabs>
          <w:tab w:val="left" w:pos="75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A62A2" w:rsidRPr="00C624AE" w:rsidSect="00C62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7B"/>
    <w:rsid w:val="0031757B"/>
    <w:rsid w:val="009D047F"/>
    <w:rsid w:val="00A3401B"/>
    <w:rsid w:val="00B00408"/>
    <w:rsid w:val="00B8293D"/>
    <w:rsid w:val="00C12312"/>
    <w:rsid w:val="00C624AE"/>
    <w:rsid w:val="00E3049D"/>
    <w:rsid w:val="00E67C4E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084F"/>
  <w15:chartTrackingRefBased/>
  <w15:docId w15:val="{F77D9A94-148D-4602-BB16-6657B1F1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E760F397634479A6CF0E65EF4AEC7" ma:contentTypeVersion="15" ma:contentTypeDescription="Create a new document." ma:contentTypeScope="" ma:versionID="1ddf039a81193fa0c46519d125b5115b">
  <xsd:schema xmlns:xsd="http://www.w3.org/2001/XMLSchema" xmlns:xs="http://www.w3.org/2001/XMLSchema" xmlns:p="http://schemas.microsoft.com/office/2006/metadata/properties" xmlns:ns1="http://schemas.microsoft.com/sharepoint/v3" xmlns:ns2="f1cb9114-6c57-4cbc-86be-7d11bcfcc1a4" xmlns:ns3="29bd5654-c808-4bb8-8ae0-b36a09766a87" targetNamespace="http://schemas.microsoft.com/office/2006/metadata/properties" ma:root="true" ma:fieldsID="d0abfb3d5402c8a79b2b9dab0e0e90e0" ns1:_="" ns2:_="" ns3:_="">
    <xsd:import namespace="http://schemas.microsoft.com/sharepoint/v3"/>
    <xsd:import namespace="f1cb9114-6c57-4cbc-86be-7d11bcfcc1a4"/>
    <xsd:import namespace="29bd5654-c808-4bb8-8ae0-b36a09766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114-6c57-4cbc-86be-7d11bcfcc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5654-c808-4bb8-8ae0-b36a09766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B1BC5-6730-4984-B8FC-E68CD24B5D6F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  <ds:schemaRef ds:uri="http://schemas.openxmlformats.org/package/2006/metadata/core-properties"/>
    <ds:schemaRef ds:uri="29bd5654-c808-4bb8-8ae0-b36a09766a87"/>
    <ds:schemaRef ds:uri="f1cb9114-6c57-4cbc-86be-7d11bcfcc1a4"/>
  </ds:schemaRefs>
</ds:datastoreItem>
</file>

<file path=customXml/itemProps2.xml><?xml version="1.0" encoding="utf-8"?>
<ds:datastoreItem xmlns:ds="http://schemas.openxmlformats.org/officeDocument/2006/customXml" ds:itemID="{14D0A61E-7D3A-4057-8EAC-0EDDBEF4B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b9114-6c57-4cbc-86be-7d11bcfcc1a4"/>
    <ds:schemaRef ds:uri="29bd5654-c808-4bb8-8ae0-b36a09766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51530-9159-43FD-9A2E-56067954C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8719</Characters>
  <Application>Microsoft Office Word</Application>
  <DocSecurity>0</DocSecurity>
  <Lines>348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GHD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Worthington</dc:creator>
  <cp:keywords/>
  <dc:description/>
  <cp:lastModifiedBy>Nikita Worthington</cp:lastModifiedBy>
  <cp:revision>2</cp:revision>
  <dcterms:created xsi:type="dcterms:W3CDTF">2021-06-04T00:49:00Z</dcterms:created>
  <dcterms:modified xsi:type="dcterms:W3CDTF">2021-06-04T00:49:00Z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0x010100FB1E760F397634479A6CF0E65EF4AEC7</vt:lpwstr>
  </property>
  <property fmtid="{D5CDD505-2E9C-101B-9397-08002B2CF9AE}" pid="3" name="WPCosting">
    <vt:filetime>2021-05-24T03:46:48Z</vt:filetime>
  </property>
</Properties>
</file>